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A020C" w:rsidRPr="00DB45A5" w:rsidRDefault="009A020C" w:rsidP="009A020C">
      <w:pPr>
        <w:spacing w:line="240" w:lineRule="auto"/>
        <w:jc w:val="right"/>
        <w:rPr>
          <w:rFonts w:ascii="Code3of9" w:hAnsi="Code3of9" w:cs="Code3of9"/>
          <w:sz w:val="40"/>
          <w:szCs w:val="40"/>
        </w:rPr>
      </w:pPr>
      <w:r w:rsidRPr="00DB45A5">
        <w:rPr>
          <w:rFonts w:ascii="Code3of9" w:hAnsi="Code3of9" w:cs="Code3of9"/>
          <w:sz w:val="40"/>
          <w:szCs w:val="40"/>
        </w:rPr>
        <w:t>**RAD_S**</w:t>
      </w:r>
    </w:p>
    <w:p w:rsidR="009A020C" w:rsidRDefault="009A020C" w:rsidP="009A020C">
      <w:pPr>
        <w:spacing w:line="240" w:lineRule="auto"/>
        <w:jc w:val="right"/>
        <w:rPr>
          <w:rFonts w:ascii="Arial Narrow" w:hAnsi="Arial Narrow"/>
        </w:rPr>
      </w:pPr>
      <w:r w:rsidRPr="004471C0">
        <w:rPr>
          <w:rFonts w:ascii="Arial Narrow" w:hAnsi="Arial Narrow"/>
          <w:b/>
        </w:rPr>
        <w:t>Al contestar por favor cite estos datos</w:t>
      </w:r>
      <w:r>
        <w:rPr>
          <w:rFonts w:ascii="Arial Narrow" w:hAnsi="Arial Narrow"/>
        </w:rPr>
        <w:t>:</w:t>
      </w:r>
    </w:p>
    <w:p w:rsidR="009A020C" w:rsidRDefault="009A020C" w:rsidP="009A020C">
      <w:pPr>
        <w:spacing w:line="240" w:lineRule="auto"/>
        <w:jc w:val="right"/>
        <w:rPr>
          <w:rFonts w:ascii="Arial Narrow" w:hAnsi="Arial Narrow"/>
          <w:b/>
          <w:bCs/>
        </w:rPr>
      </w:pPr>
      <w:r>
        <w:rPr>
          <w:rFonts w:ascii="Arial Narrow" w:hAnsi="Arial Narrow"/>
        </w:rPr>
        <w:t xml:space="preserve">Radicado No.: </w:t>
      </w:r>
      <w:r>
        <w:rPr>
          <w:rFonts w:ascii="Arial Narrow" w:hAnsi="Arial Narrow"/>
          <w:b/>
          <w:bCs/>
        </w:rPr>
        <w:t>*RAD_S*</w:t>
      </w:r>
    </w:p>
    <w:p w:rsidR="009A020C" w:rsidRPr="004471C0" w:rsidRDefault="009A020C" w:rsidP="009A020C">
      <w:pPr>
        <w:spacing w:line="240" w:lineRule="auto"/>
        <w:jc w:val="right"/>
        <w:rPr>
          <w:sz w:val="20"/>
          <w:szCs w:val="20"/>
        </w:rPr>
      </w:pPr>
      <w:r w:rsidRPr="004471C0">
        <w:rPr>
          <w:rFonts w:ascii="Arial Narrow" w:hAnsi="Arial Narrow"/>
          <w:bCs/>
          <w:sz w:val="20"/>
          <w:szCs w:val="20"/>
        </w:rPr>
        <w:t xml:space="preserve">Fecha: </w:t>
      </w:r>
      <w:r w:rsidRPr="004471C0">
        <w:rPr>
          <w:b/>
          <w:bCs/>
          <w:sz w:val="20"/>
          <w:szCs w:val="20"/>
          <w:lang w:val="es-ES"/>
        </w:rPr>
        <w:t>*F_RAD_S*</w:t>
      </w:r>
    </w:p>
    <w:p w:rsidR="009A020C" w:rsidRPr="00F970D3" w:rsidRDefault="009A020C" w:rsidP="009A020C">
      <w:pPr>
        <w:spacing w:line="240" w:lineRule="auto"/>
        <w:jc w:val="right"/>
        <w:rPr>
          <w:rFonts w:ascii="Arial Narrow" w:hAnsi="Arial Narrow"/>
        </w:rPr>
      </w:pPr>
      <w:r w:rsidRPr="00F970D3">
        <w:rPr>
          <w:rFonts w:ascii="Arial Narrow" w:hAnsi="Arial Narrow"/>
        </w:rPr>
        <w:t xml:space="preserve"> *DEPENDENCIA_NOMBRE*</w:t>
      </w:r>
    </w:p>
    <w:p w:rsidR="00FF1F16" w:rsidRDefault="004A6500">
      <w:pP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Arquitecta</w:t>
      </w:r>
    </w:p>
    <w:p w:rsidR="00FF1F16" w:rsidRDefault="004A6500">
      <w:pPr>
        <w:spacing w:line="240" w:lineRule="auto"/>
        <w:jc w:val="both"/>
        <w:rPr>
          <w:rFonts w:ascii="Arial Narrow" w:eastAsia="Arial Narrow" w:hAnsi="Arial Narrow" w:cs="Arial Narrow"/>
          <w:b/>
          <w:bCs/>
          <w:sz w:val="24"/>
          <w:szCs w:val="24"/>
        </w:rPr>
      </w:pPr>
      <w:r>
        <w:rPr>
          <w:rFonts w:ascii="Arial Narrow" w:eastAsia="Arial Narrow" w:hAnsi="Arial Narrow" w:cs="Arial Narrow"/>
          <w:b/>
          <w:bCs/>
          <w:sz w:val="24"/>
          <w:szCs w:val="24"/>
        </w:rPr>
        <w:t>LILIANA RICARDO BETANCOURT</w:t>
      </w:r>
    </w:p>
    <w:p w:rsidR="00FF1F16" w:rsidRDefault="004A6500">
      <w:pP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Coordinadora Grupo Unidad de Movilidad Urbana Sostenible (E)</w:t>
      </w:r>
    </w:p>
    <w:p w:rsidR="00FF1F16" w:rsidRDefault="004A6500">
      <w:pPr>
        <w:spacing w:line="240" w:lineRule="auto"/>
        <w:jc w:val="both"/>
        <w:rPr>
          <w:rFonts w:ascii="Arial Narrow" w:eastAsia="Arial Narrow" w:hAnsi="Arial Narrow" w:cs="Arial Narrow"/>
          <w:color w:val="0000FF"/>
          <w:sz w:val="24"/>
          <w:szCs w:val="24"/>
          <w:u w:val="single"/>
        </w:rPr>
      </w:pPr>
      <w:r>
        <w:rPr>
          <w:rFonts w:ascii="Arial Narrow" w:eastAsia="Arial Narrow" w:hAnsi="Arial Narrow" w:cs="Arial Narrow"/>
          <w:color w:val="0000FF"/>
          <w:sz w:val="24"/>
          <w:szCs w:val="24"/>
          <w:u w:val="single"/>
        </w:rPr>
        <w:t>lbetancourt@mintransporte.gov.co</w:t>
      </w:r>
    </w:p>
    <w:p w:rsidR="00FF1F16" w:rsidRDefault="004A6500">
      <w:pP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Ministerio de Transporte</w:t>
      </w:r>
    </w:p>
    <w:p w:rsidR="00FF1F16" w:rsidRDefault="00FF1F16">
      <w:pPr>
        <w:spacing w:line="240" w:lineRule="auto"/>
        <w:jc w:val="both"/>
        <w:rPr>
          <w:rFonts w:ascii="Arial Narrow" w:eastAsia="Arial Narrow" w:hAnsi="Arial Narrow" w:cs="Arial Narrow"/>
          <w:sz w:val="24"/>
          <w:szCs w:val="24"/>
        </w:rPr>
      </w:pPr>
    </w:p>
    <w:p w:rsidR="00FF1F16" w:rsidRDefault="004A6500">
      <w:pP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 xml:space="preserve">Ingeniero </w:t>
      </w:r>
    </w:p>
    <w:p w:rsidR="00FF1F16" w:rsidRDefault="004A6500">
      <w:pPr>
        <w:spacing w:line="240" w:lineRule="auto"/>
        <w:rPr>
          <w:rFonts w:ascii="Arial Narrow" w:eastAsia="Arial Narrow" w:hAnsi="Arial Narrow" w:cs="Arial Narrow"/>
          <w:b/>
          <w:bCs/>
          <w:sz w:val="24"/>
          <w:szCs w:val="24"/>
        </w:rPr>
      </w:pPr>
      <w:r>
        <w:rPr>
          <w:rFonts w:ascii="Arial Narrow" w:eastAsia="Arial Narrow" w:hAnsi="Arial Narrow" w:cs="Arial Narrow"/>
          <w:b/>
          <w:bCs/>
          <w:sz w:val="24"/>
          <w:szCs w:val="24"/>
        </w:rPr>
        <w:t>DANIEL ARTURO QUINTANA RUBIANO</w:t>
      </w:r>
    </w:p>
    <w:p w:rsidR="00FF1F16" w:rsidRDefault="004A6500">
      <w:pP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Líder Grupo UMUS para SETP Popayán</w:t>
      </w:r>
    </w:p>
    <w:p w:rsidR="00FF1F16" w:rsidRDefault="004A6500">
      <w:pPr>
        <w:pBdr>
          <w:top w:val="nil"/>
          <w:left w:val="nil"/>
          <w:bottom w:val="nil"/>
          <w:right w:val="nil"/>
          <w:between w:val="nil"/>
        </w:pBdr>
        <w:spacing w:line="240" w:lineRule="auto"/>
        <w:jc w:val="both"/>
        <w:rPr>
          <w:rFonts w:ascii="Arial Narrow" w:eastAsia="Arial Narrow" w:hAnsi="Arial Narrow" w:cs="Arial Narrow"/>
          <w:color w:val="0000FF"/>
          <w:sz w:val="24"/>
          <w:szCs w:val="24"/>
          <w:u w:val="single"/>
        </w:rPr>
      </w:pPr>
      <w:r>
        <w:rPr>
          <w:rFonts w:ascii="Arial Narrow" w:eastAsia="Arial Narrow" w:hAnsi="Arial Narrow" w:cs="Arial Narrow"/>
          <w:color w:val="0000FF"/>
          <w:sz w:val="24"/>
          <w:szCs w:val="24"/>
          <w:u w:val="single"/>
        </w:rPr>
        <w:t xml:space="preserve">dquintana@mintransporte.gov.co </w:t>
      </w:r>
    </w:p>
    <w:p w:rsidR="00FF1F16" w:rsidRDefault="004A6500">
      <w:pP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Ministerio de Transporte</w:t>
      </w:r>
    </w:p>
    <w:p w:rsidR="00FF1F16" w:rsidRDefault="00FF1F16">
      <w:pPr>
        <w:spacing w:line="240" w:lineRule="auto"/>
        <w:rPr>
          <w:rFonts w:ascii="Arial Narrow" w:eastAsia="Arial Narrow" w:hAnsi="Arial Narrow" w:cs="Arial Narrow"/>
          <w:sz w:val="24"/>
          <w:szCs w:val="24"/>
        </w:rPr>
      </w:pPr>
    </w:p>
    <w:p w:rsidR="00FF1F16" w:rsidRDefault="004A6500">
      <w:pPr>
        <w:spacing w:line="240" w:lineRule="auto"/>
        <w:rPr>
          <w:rFonts w:ascii="Arial Narrow" w:eastAsia="Arial Narrow" w:hAnsi="Arial Narrow" w:cs="Arial Narrow"/>
          <w:sz w:val="24"/>
          <w:szCs w:val="24"/>
        </w:rPr>
      </w:pPr>
      <w:r>
        <w:rPr>
          <w:rFonts w:ascii="Arial Narrow" w:eastAsia="Arial Narrow" w:hAnsi="Arial Narrow" w:cs="Arial Narrow"/>
          <w:b/>
          <w:bCs/>
          <w:sz w:val="24"/>
          <w:szCs w:val="24"/>
        </w:rPr>
        <w:t>Referencia:</w:t>
      </w:r>
      <w:r>
        <w:rPr>
          <w:rFonts w:ascii="Arial Narrow" w:eastAsia="Arial Narrow" w:hAnsi="Arial Narrow" w:cs="Arial Narrow"/>
          <w:sz w:val="24"/>
          <w:szCs w:val="24"/>
        </w:rPr>
        <w:t xml:space="preserve"> Seguimiento Memorando de Entendimiento Otrosí No. 6- SETP Popayán y presentación de informe de ejecución EG</w:t>
      </w:r>
    </w:p>
    <w:p w:rsidR="00FF1F16" w:rsidRDefault="00FF1F16">
      <w:pPr>
        <w:spacing w:line="240" w:lineRule="auto"/>
        <w:jc w:val="both"/>
        <w:rPr>
          <w:rFonts w:ascii="Arial Narrow" w:eastAsia="Arial Narrow" w:hAnsi="Arial Narrow" w:cs="Arial Narrow"/>
          <w:sz w:val="24"/>
          <w:szCs w:val="24"/>
        </w:rPr>
      </w:pPr>
    </w:p>
    <w:p w:rsidR="00FF1F16" w:rsidRDefault="004A6500">
      <w:pPr>
        <w:jc w:val="both"/>
        <w:rPr>
          <w:rFonts w:ascii="Arial Narrow" w:eastAsia="Arial Narrow" w:hAnsi="Arial Narrow" w:cs="Arial Narrow"/>
          <w:sz w:val="24"/>
          <w:szCs w:val="24"/>
        </w:rPr>
      </w:pPr>
      <w:r>
        <w:rPr>
          <w:rFonts w:ascii="Arial Narrow" w:eastAsia="Arial Narrow" w:hAnsi="Arial Narrow" w:cs="Arial Narrow"/>
          <w:b/>
          <w:bCs/>
          <w:sz w:val="24"/>
          <w:szCs w:val="24"/>
        </w:rPr>
        <w:t xml:space="preserve">Asunto: </w:t>
      </w:r>
      <w:r>
        <w:rPr>
          <w:rFonts w:ascii="Arial Narrow" w:eastAsia="Arial Narrow" w:hAnsi="Arial Narrow" w:cs="Arial Narrow"/>
          <w:sz w:val="24"/>
          <w:szCs w:val="24"/>
        </w:rPr>
        <w:t>Respuesta citación a reunión de seguimiento – Alertas derivadas del informe trimestral IV-2025.</w:t>
      </w:r>
    </w:p>
    <w:p w:rsidR="00FF1F16" w:rsidRDefault="00FF1F16">
      <w:pPr>
        <w:jc w:val="both"/>
        <w:rPr>
          <w:rFonts w:ascii="Arial Narrow" w:eastAsia="Arial Narrow" w:hAnsi="Arial Narrow" w:cs="Arial Narrow"/>
          <w:sz w:val="24"/>
          <w:szCs w:val="24"/>
        </w:rPr>
      </w:pPr>
    </w:p>
    <w:p w:rsidR="00FF1F16" w:rsidRDefault="00FF1F16">
      <w:pPr>
        <w:jc w:val="both"/>
        <w:rPr>
          <w:rFonts w:ascii="Arial Narrow" w:eastAsia="Arial Narrow" w:hAnsi="Arial Narrow" w:cs="Arial Narrow"/>
          <w:sz w:val="24"/>
          <w:szCs w:val="24"/>
        </w:rPr>
      </w:pPr>
    </w:p>
    <w:p w:rsidR="00FF1F16" w:rsidRDefault="004A6500">
      <w:pPr>
        <w:spacing w:after="200"/>
        <w:jc w:val="both"/>
        <w:rPr>
          <w:rFonts w:ascii="Arial Narrow" w:eastAsia="Arial Narrow" w:hAnsi="Arial Narrow" w:cs="Arial Narrow"/>
          <w:sz w:val="24"/>
          <w:szCs w:val="24"/>
        </w:rPr>
      </w:pPr>
      <w:r>
        <w:rPr>
          <w:rFonts w:ascii="Arial Narrow" w:eastAsia="Arial Narrow" w:hAnsi="Arial Narrow" w:cs="Arial Narrow"/>
          <w:sz w:val="24"/>
          <w:szCs w:val="24"/>
        </w:rPr>
        <w:t>Cordial saludo,</w:t>
      </w:r>
    </w:p>
    <w:p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En atención al seguimiento efectuado respecto del Memorando de Entendimiento suscrito el 17 de diciembre de 2025, asociado al Otrosí No. 6 del Convenio de Cofinanciación del Sistema Estratégico de Transporte Público – SETP de Popayán, y conforme a lo acord</w:t>
      </w:r>
      <w:r>
        <w:rPr>
          <w:rFonts w:ascii="Arial Narrow" w:eastAsia="Arial Narrow" w:hAnsi="Arial Narrow" w:cs="Arial Narrow"/>
          <w:sz w:val="24"/>
          <w:szCs w:val="24"/>
        </w:rPr>
        <w:t>ado durante la reunión adelantada el 20 de abril de 2026, Movilidad Futura S.A.S., en calidad de Ente Gestor del SETP, se permite presentar el informe de avance y cumplimiento de los compromisos allí contenidos, así como las acciones adelantadas, dificulta</w:t>
      </w:r>
      <w:r>
        <w:rPr>
          <w:rFonts w:ascii="Arial Narrow" w:eastAsia="Arial Narrow" w:hAnsi="Arial Narrow" w:cs="Arial Narrow"/>
          <w:sz w:val="24"/>
          <w:szCs w:val="24"/>
        </w:rPr>
        <w:t>des identificadas y propuestas de reprogramación orientadas a garantizar la continuidad y viabilidad del proceso de implementación del sistema.</w:t>
      </w:r>
    </w:p>
    <w:p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 xml:space="preserve">El presente informe permite evidenciar la gestión institucional adelantada por el Ente Gestor y las entidades </w:t>
      </w:r>
      <w:r>
        <w:rPr>
          <w:rFonts w:ascii="Arial Narrow" w:eastAsia="Arial Narrow" w:hAnsi="Arial Narrow" w:cs="Arial Narrow"/>
          <w:sz w:val="24"/>
          <w:szCs w:val="24"/>
        </w:rPr>
        <w:t>involucradas en el desarrollo de los compromisos priorizados, identificando igualmente aquellos componentes cuya ejecución depende de procesos contractuales, articulación interinstitucional y decisiones concurrentes necesarias para la materialización de lo</w:t>
      </w:r>
      <w:r>
        <w:rPr>
          <w:rFonts w:ascii="Arial Narrow" w:eastAsia="Arial Narrow" w:hAnsi="Arial Narrow" w:cs="Arial Narrow"/>
          <w:sz w:val="24"/>
          <w:szCs w:val="24"/>
        </w:rPr>
        <w:t>s hitos definidos en el Memorando de Entendimiento.</w:t>
      </w:r>
    </w:p>
    <w:p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lastRenderedPageBreak/>
        <w:t>En ese sentido, la información remitida no solo expone el estado actual de los compromisos, sino que busca contextualizar las condiciones técnicas, administrativas y operativas que han incidido en la ne</w:t>
      </w:r>
      <w:r>
        <w:rPr>
          <w:rFonts w:ascii="Arial Narrow" w:eastAsia="Arial Narrow" w:hAnsi="Arial Narrow" w:cs="Arial Narrow"/>
          <w:sz w:val="24"/>
          <w:szCs w:val="24"/>
        </w:rPr>
        <w:t>cesidad de ajustar algunos cronogramas inicialmente previstos, particularmente en componentes asociados a la interventoría ITS, implementación tecnológica, sostenibilidad financiera, operación e infraestructura del sistema.</w:t>
      </w:r>
    </w:p>
    <w:p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Movilidad Futura S.A.S. reiter</w:t>
      </w:r>
      <w:r>
        <w:rPr>
          <w:rFonts w:ascii="Arial Narrow" w:eastAsia="Arial Narrow" w:hAnsi="Arial Narrow" w:cs="Arial Narrow"/>
          <w:sz w:val="24"/>
          <w:szCs w:val="24"/>
        </w:rPr>
        <w:t xml:space="preserve">a su compromiso con la implementación y puesta en operación del SETP de Popayán y presenta las reprogramaciones propuestas como medidas orientadas a armonizar los compromisos inicialmente definidos con las condiciones reales del proyecto, privilegiando la </w:t>
      </w:r>
      <w:r>
        <w:rPr>
          <w:rFonts w:ascii="Arial Narrow" w:eastAsia="Arial Narrow" w:hAnsi="Arial Narrow" w:cs="Arial Narrow"/>
          <w:sz w:val="24"/>
          <w:szCs w:val="24"/>
        </w:rPr>
        <w:t>toma de decisiones sobre información verificable y técnicamente sustentada.</w:t>
      </w:r>
    </w:p>
    <w:p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En consecuencia, se remite el informe anexo para su conocimiento, revisión y acompañamiento institucional</w:t>
      </w:r>
    </w:p>
    <w:p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Atentamente,</w:t>
      </w:r>
    </w:p>
    <w:p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rsidR="009A020C" w:rsidRDefault="009A020C">
      <w:pPr>
        <w:jc w:val="both"/>
        <w:rPr>
          <w:rFonts w:ascii="Arial Narrow" w:eastAsia="Arial Narrow" w:hAnsi="Arial Narrow" w:cs="Arial Narrow"/>
          <w:sz w:val="24"/>
          <w:szCs w:val="24"/>
        </w:rPr>
      </w:pPr>
    </w:p>
    <w:p w:rsidR="009A020C" w:rsidRDefault="009A020C">
      <w:pPr>
        <w:jc w:val="both"/>
        <w:rPr>
          <w:rFonts w:ascii="Arial Narrow" w:eastAsia="Arial Narrow" w:hAnsi="Arial Narrow" w:cs="Arial Narrow"/>
          <w:sz w:val="24"/>
          <w:szCs w:val="24"/>
        </w:rPr>
      </w:pPr>
      <w:bookmarkStart w:id="0" w:name="_GoBack"/>
      <w:bookmarkEnd w:id="0"/>
    </w:p>
    <w:p w:rsidR="00FF1F16" w:rsidRDefault="00FF1F16">
      <w:pPr>
        <w:jc w:val="both"/>
        <w:rPr>
          <w:rFonts w:ascii="Arial Narrow" w:eastAsia="Arial Narrow" w:hAnsi="Arial Narrow" w:cs="Arial Narrow"/>
          <w:sz w:val="24"/>
          <w:szCs w:val="24"/>
        </w:rPr>
      </w:pPr>
    </w:p>
    <w:p w:rsidR="00FF1F16" w:rsidRDefault="004A6500">
      <w:pPr>
        <w:spacing w:line="240" w:lineRule="auto"/>
        <w:rPr>
          <w:rFonts w:ascii="Arial Narrow" w:eastAsia="Arial Narrow" w:hAnsi="Arial Narrow" w:cs="Arial Narrow"/>
          <w:b/>
          <w:bCs/>
          <w:sz w:val="24"/>
          <w:szCs w:val="24"/>
        </w:rPr>
      </w:pPr>
      <w:r>
        <w:rPr>
          <w:rFonts w:ascii="Arial Narrow" w:eastAsia="Arial Narrow" w:hAnsi="Arial Narrow" w:cs="Arial Narrow"/>
          <w:b/>
          <w:bCs/>
          <w:sz w:val="24"/>
          <w:szCs w:val="24"/>
        </w:rPr>
        <w:t>ROBINSON FELIPE ACOSTA ORTEGA</w:t>
      </w:r>
    </w:p>
    <w:p w:rsidR="00FF1F16" w:rsidRDefault="004A6500">
      <w:pP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 xml:space="preserve">Gerente </w:t>
      </w:r>
    </w:p>
    <w:p w:rsidR="00FF1F16" w:rsidRDefault="004A6500">
      <w:pP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MOVILIDAD FUTUR</w:t>
      </w:r>
      <w:r>
        <w:rPr>
          <w:rFonts w:ascii="Arial Narrow" w:eastAsia="Arial Narrow" w:hAnsi="Arial Narrow" w:cs="Arial Narrow"/>
          <w:sz w:val="24"/>
          <w:szCs w:val="24"/>
        </w:rPr>
        <w:t>A S.A.S</w:t>
      </w:r>
    </w:p>
    <w:p w:rsidR="00FF1F16" w:rsidRDefault="00FF1F16">
      <w:pPr>
        <w:spacing w:line="240" w:lineRule="auto"/>
        <w:rPr>
          <w:rFonts w:ascii="Arial Narrow" w:eastAsia="Arial Narrow" w:hAnsi="Arial Narrow" w:cs="Arial Narrow"/>
        </w:rPr>
      </w:pPr>
    </w:p>
    <w:p w:rsidR="00FF1F16" w:rsidRDefault="004A6500">
      <w:pPr>
        <w:spacing w:line="240" w:lineRule="auto"/>
        <w:rPr>
          <w:rFonts w:ascii="Arial Narrow" w:eastAsia="Arial Narrow" w:hAnsi="Arial Narrow" w:cs="Arial Narrow"/>
          <w:sz w:val="18"/>
          <w:szCs w:val="18"/>
        </w:rPr>
      </w:pPr>
      <w:r>
        <w:rPr>
          <w:rFonts w:ascii="Arial Narrow" w:eastAsia="Arial Narrow" w:hAnsi="Arial Narrow" w:cs="Arial Narrow"/>
          <w:sz w:val="18"/>
          <w:szCs w:val="18"/>
        </w:rPr>
        <w:t>Proyectó: Gloria Patricia Bolaños Mosquera – Contratista Coordinador Operaciones</w:t>
      </w:r>
    </w:p>
    <w:p w:rsidR="00FF1F16" w:rsidRDefault="004A6500">
      <w:pPr>
        <w:spacing w:line="240" w:lineRule="auto"/>
        <w:ind w:firstLine="720"/>
        <w:rPr>
          <w:rFonts w:ascii="Arial Narrow" w:eastAsia="Arial Narrow" w:hAnsi="Arial Narrow" w:cs="Arial Narrow"/>
          <w:sz w:val="18"/>
          <w:szCs w:val="18"/>
        </w:rPr>
      </w:pPr>
      <w:r>
        <w:rPr>
          <w:rFonts w:ascii="Arial Narrow" w:eastAsia="Arial Narrow" w:hAnsi="Arial Narrow" w:cs="Arial Narrow"/>
          <w:sz w:val="18"/>
          <w:szCs w:val="18"/>
        </w:rPr>
        <w:t>Manuel Alberto Parra Tobar – Líder Jurídico Movilidad Futura S.A.S./</w:t>
      </w:r>
    </w:p>
    <w:p w:rsidR="00FF1F16" w:rsidRDefault="004A6500">
      <w:pPr>
        <w:spacing w:line="240" w:lineRule="auto"/>
        <w:rPr>
          <w:rFonts w:ascii="Arial Narrow" w:eastAsia="Arial Narrow" w:hAnsi="Arial Narrow" w:cs="Arial Narrow"/>
          <w:b/>
          <w:bCs/>
          <w:color w:val="222222"/>
          <w:sz w:val="18"/>
          <w:szCs w:val="18"/>
          <w:highlight w:val="white"/>
        </w:rPr>
      </w:pPr>
      <w:r>
        <w:rPr>
          <w:rFonts w:ascii="Arial Narrow" w:eastAsia="Arial Narrow" w:hAnsi="Arial Narrow" w:cs="Arial Narrow"/>
          <w:sz w:val="18"/>
          <w:szCs w:val="18"/>
        </w:rPr>
        <w:t xml:space="preserve">Revisó: </w:t>
      </w:r>
      <w:r>
        <w:rPr>
          <w:rFonts w:ascii="Arial Narrow" w:eastAsia="Arial Narrow" w:hAnsi="Arial Narrow" w:cs="Arial Narrow"/>
          <w:sz w:val="18"/>
          <w:szCs w:val="18"/>
        </w:rPr>
        <w:tab/>
        <w:t>Manuel Alberto Parra Tobar – Líder Jurídico Movilidad Futura S.A.S./</w:t>
      </w:r>
    </w:p>
    <w:p w:rsidR="00FF1F16" w:rsidRDefault="004A6500">
      <w:pPr>
        <w:spacing w:line="240" w:lineRule="auto"/>
        <w:rPr>
          <w:rFonts w:ascii="Arial Narrow" w:eastAsia="Arial Narrow" w:hAnsi="Arial Narrow" w:cs="Arial Narrow"/>
        </w:rPr>
      </w:pPr>
      <w:proofErr w:type="spellStart"/>
      <w:r>
        <w:rPr>
          <w:rFonts w:ascii="Arial Narrow" w:eastAsia="Arial Narrow" w:hAnsi="Arial Narrow" w:cs="Arial Narrow"/>
          <w:sz w:val="18"/>
          <w:szCs w:val="18"/>
        </w:rPr>
        <w:t>VoBo</w:t>
      </w:r>
      <w:proofErr w:type="spellEnd"/>
      <w:r>
        <w:rPr>
          <w:rFonts w:ascii="Arial Narrow" w:eastAsia="Arial Narrow" w:hAnsi="Arial Narrow" w:cs="Arial Narrow"/>
          <w:sz w:val="18"/>
          <w:szCs w:val="18"/>
        </w:rPr>
        <w:t xml:space="preserve">: </w:t>
      </w:r>
      <w:r>
        <w:rPr>
          <w:rFonts w:ascii="Arial Narrow" w:eastAsia="Arial Narrow" w:hAnsi="Arial Narrow" w:cs="Arial Narrow"/>
          <w:sz w:val="18"/>
          <w:szCs w:val="18"/>
        </w:rPr>
        <w:tab/>
      </w:r>
      <w:r>
        <w:rPr>
          <w:rFonts w:ascii="Arial Narrow" w:eastAsia="Arial Narrow" w:hAnsi="Arial Narrow" w:cs="Arial Narrow"/>
          <w:sz w:val="18"/>
          <w:szCs w:val="18"/>
        </w:rPr>
        <w:t>Robinson Felipe Acosta Ortega – Gerente.</w:t>
      </w:r>
    </w:p>
    <w:p w:rsidR="00FF1F16" w:rsidRDefault="004A6500">
      <w:pPr>
        <w:rPr>
          <w:rFonts w:ascii="Arial Narrow" w:eastAsia="Arial Narrow" w:hAnsi="Arial Narrow" w:cs="Arial Narrow"/>
          <w:i/>
          <w:iCs/>
        </w:rPr>
      </w:pPr>
      <w:r>
        <w:br w:type="page"/>
      </w:r>
    </w:p>
    <w:p w:rsidR="00FF1F16" w:rsidRDefault="00FF1F16">
      <w:pPr>
        <w:spacing w:line="240" w:lineRule="auto"/>
        <w:ind w:left="720"/>
        <w:jc w:val="both"/>
        <w:rPr>
          <w:rFonts w:ascii="Arial Narrow" w:eastAsia="Arial Narrow" w:hAnsi="Arial Narrow" w:cs="Arial Narrow"/>
          <w:i/>
          <w:iCs/>
        </w:rPr>
      </w:pPr>
    </w:p>
    <w:p w:rsidR="00FF1F16" w:rsidRDefault="004A6500">
      <w:pPr>
        <w:rPr>
          <w:rFonts w:ascii="Arial Narrow" w:eastAsia="Arial Narrow" w:hAnsi="Arial Narrow" w:cs="Arial Narrow"/>
          <w:sz w:val="24"/>
          <w:szCs w:val="24"/>
        </w:rPr>
      </w:pPr>
      <w:r>
        <w:rPr>
          <w:rFonts w:ascii="Arial Narrow" w:eastAsia="Arial Narrow" w:hAnsi="Arial Narrow" w:cs="Arial Narrow"/>
          <w:b/>
          <w:bCs/>
          <w:sz w:val="24"/>
          <w:szCs w:val="24"/>
        </w:rPr>
        <w:t>PROBLEMAS CRÍTICOS DEL SETP</w:t>
      </w:r>
    </w:p>
    <w:p w:rsidR="00FF1F16" w:rsidRDefault="004A6500">
      <w:pPr>
        <w:numPr>
          <w:ilvl w:val="0"/>
          <w:numId w:val="1"/>
        </w:numPr>
        <w:pBdr>
          <w:top w:val="nil"/>
          <w:left w:val="nil"/>
          <w:bottom w:val="nil"/>
          <w:right w:val="nil"/>
          <w:between w:val="nil"/>
        </w:pBdr>
        <w:spacing w:line="240" w:lineRule="auto"/>
        <w:ind w:left="284" w:hanging="11"/>
        <w:rPr>
          <w:rFonts w:ascii="Arial Narrow" w:eastAsia="Arial Narrow" w:hAnsi="Arial Narrow" w:cs="Arial Narrow"/>
          <w:b/>
          <w:bCs/>
          <w:color w:val="000000"/>
          <w:sz w:val="24"/>
          <w:szCs w:val="24"/>
        </w:rPr>
      </w:pPr>
      <w:r>
        <w:rPr>
          <w:rFonts w:ascii="Arial Narrow" w:eastAsia="Arial Narrow" w:hAnsi="Arial Narrow" w:cs="Arial Narrow"/>
          <w:b/>
          <w:bCs/>
          <w:color w:val="000000"/>
          <w:sz w:val="24"/>
          <w:szCs w:val="24"/>
        </w:rPr>
        <w:t>CONTRATAR INTERVENTORÍA PARA LA IMPLEMENTACIÓN DE LOS ITS PARA EL SETP.</w:t>
      </w:r>
    </w:p>
    <w:p w:rsidR="00FF1F16" w:rsidRDefault="00FF1F16">
      <w:pPr>
        <w:spacing w:line="240" w:lineRule="auto"/>
        <w:ind w:left="207"/>
        <w:rPr>
          <w:rFonts w:ascii="Arial Narrow" w:eastAsia="Arial Narrow" w:hAnsi="Arial Narrow" w:cs="Arial Narrow"/>
          <w:b/>
          <w:bCs/>
          <w:sz w:val="24"/>
          <w:szCs w:val="24"/>
        </w:rPr>
      </w:pPr>
    </w:p>
    <w:p w:rsidR="00FF1F16" w:rsidRDefault="004A6500">
      <w:pPr>
        <w:spacing w:line="240" w:lineRule="auto"/>
        <w:ind w:left="207"/>
        <w:jc w:val="both"/>
        <w:rPr>
          <w:rFonts w:ascii="Arial Narrow" w:eastAsia="Arial Narrow" w:hAnsi="Arial Narrow" w:cs="Arial Narrow"/>
          <w:sz w:val="24"/>
          <w:szCs w:val="24"/>
        </w:rPr>
      </w:pPr>
      <w:r>
        <w:rPr>
          <w:rFonts w:ascii="Arial Narrow" w:eastAsia="Arial Narrow" w:hAnsi="Arial Narrow" w:cs="Arial Narrow"/>
          <w:b/>
          <w:bCs/>
          <w:sz w:val="24"/>
          <w:szCs w:val="24"/>
        </w:rPr>
        <w:t xml:space="preserve">Compromiso: </w:t>
      </w:r>
      <w:r>
        <w:rPr>
          <w:rFonts w:ascii="Arial Narrow" w:eastAsia="Arial Narrow" w:hAnsi="Arial Narrow" w:cs="Arial Narrow"/>
          <w:sz w:val="24"/>
          <w:szCs w:val="24"/>
        </w:rPr>
        <w:t>Iniciar contratación de la interventoría al contrato de tecnología para continuar con la instalación, pruebas y puesta en marcha de los SGCF y SRC.</w:t>
      </w:r>
    </w:p>
    <w:p w:rsidR="00FF1F16" w:rsidRDefault="004A6500">
      <w:pPr>
        <w:spacing w:line="240" w:lineRule="auto"/>
        <w:ind w:left="207"/>
        <w:jc w:val="both"/>
        <w:rPr>
          <w:rFonts w:ascii="Arial Narrow" w:eastAsia="Arial Narrow" w:hAnsi="Arial Narrow" w:cs="Arial Narrow"/>
          <w:sz w:val="24"/>
          <w:szCs w:val="24"/>
        </w:rPr>
      </w:pPr>
      <w:r>
        <w:rPr>
          <w:rFonts w:ascii="Arial Narrow" w:eastAsia="Arial Narrow" w:hAnsi="Arial Narrow" w:cs="Arial Narrow"/>
          <w:b/>
          <w:bCs/>
          <w:sz w:val="24"/>
          <w:szCs w:val="24"/>
        </w:rPr>
        <w:t xml:space="preserve">Responsable: </w:t>
      </w:r>
      <w:r>
        <w:rPr>
          <w:rFonts w:ascii="Arial Narrow" w:eastAsia="Arial Narrow" w:hAnsi="Arial Narrow" w:cs="Arial Narrow"/>
          <w:sz w:val="24"/>
          <w:szCs w:val="24"/>
        </w:rPr>
        <w:t>Ente Gestor</w:t>
      </w:r>
    </w:p>
    <w:p w:rsidR="00FF1F16" w:rsidRDefault="004A6500">
      <w:pPr>
        <w:spacing w:line="240" w:lineRule="auto"/>
        <w:ind w:left="207"/>
        <w:jc w:val="both"/>
        <w:rPr>
          <w:rFonts w:ascii="Arial Narrow" w:eastAsia="Arial Narrow" w:hAnsi="Arial Narrow" w:cs="Arial Narrow"/>
          <w:sz w:val="24"/>
          <w:szCs w:val="24"/>
        </w:rPr>
      </w:pPr>
      <w:r>
        <w:rPr>
          <w:rFonts w:ascii="Arial Narrow" w:eastAsia="Arial Narrow" w:hAnsi="Arial Narrow" w:cs="Arial Narrow"/>
          <w:b/>
          <w:bCs/>
          <w:sz w:val="24"/>
          <w:szCs w:val="24"/>
        </w:rPr>
        <w:t xml:space="preserve">Fecha inicial Límite: </w:t>
      </w:r>
      <w:r>
        <w:rPr>
          <w:rFonts w:ascii="Arial Narrow" w:eastAsia="Arial Narrow" w:hAnsi="Arial Narrow" w:cs="Arial Narrow"/>
          <w:sz w:val="24"/>
          <w:szCs w:val="24"/>
        </w:rPr>
        <w:t>diciembre de 2025</w:t>
      </w:r>
    </w:p>
    <w:p w:rsidR="00FF1F16" w:rsidRDefault="00FF1F16">
      <w:pPr>
        <w:spacing w:line="240" w:lineRule="auto"/>
        <w:ind w:left="284"/>
        <w:rPr>
          <w:rFonts w:ascii="Arial Narrow" w:eastAsia="Arial Narrow" w:hAnsi="Arial Narrow" w:cs="Arial Narrow"/>
          <w:b/>
          <w:bCs/>
          <w:sz w:val="24"/>
          <w:szCs w:val="24"/>
          <w:u w:val="single"/>
        </w:rPr>
      </w:pPr>
    </w:p>
    <w:p w:rsidR="00FF1F16" w:rsidRDefault="004A6500">
      <w:pPr>
        <w:spacing w:line="240" w:lineRule="auto"/>
        <w:ind w:left="284"/>
        <w:rPr>
          <w:rFonts w:ascii="Arial Narrow" w:eastAsia="Arial Narrow" w:hAnsi="Arial Narrow" w:cs="Arial Narrow"/>
          <w:sz w:val="24"/>
          <w:szCs w:val="24"/>
          <w:u w:val="single"/>
        </w:rPr>
      </w:pPr>
      <w:r>
        <w:rPr>
          <w:rFonts w:ascii="Arial Narrow" w:eastAsia="Arial Narrow" w:hAnsi="Arial Narrow" w:cs="Arial Narrow"/>
          <w:b/>
          <w:bCs/>
          <w:sz w:val="24"/>
          <w:szCs w:val="24"/>
          <w:u w:val="single"/>
        </w:rPr>
        <w:t>Acciones adelantadas</w:t>
      </w:r>
    </w:p>
    <w:p w:rsidR="00FF1F16" w:rsidRDefault="004A6500">
      <w:pPr>
        <w:pBdr>
          <w:top w:val="nil"/>
          <w:left w:val="nil"/>
          <w:bottom w:val="nil"/>
          <w:right w:val="nil"/>
          <w:between w:val="nil"/>
        </w:pBdr>
        <w:spacing w:line="240" w:lineRule="auto"/>
        <w:ind w:left="426"/>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Frente a la contratación de la interventoría, la entidad adelantó el proceso  de concurso de méritos abierto MF-CMA-01-2025 publicado  el 9 de diciembre de 2025 en la página SECOP II, cuyo objeto es “</w:t>
      </w:r>
      <w:r>
        <w:rPr>
          <w:rFonts w:ascii="Arial Narrow" w:eastAsia="Arial Narrow" w:hAnsi="Arial Narrow" w:cs="Arial Narrow"/>
          <w:i/>
          <w:iCs/>
          <w:color w:val="000000"/>
          <w:sz w:val="24"/>
          <w:szCs w:val="24"/>
        </w:rPr>
        <w:t>REALIZAR LA INTERVENTORIA TECNICA, ADMINISTRATIVA, FINAN</w:t>
      </w:r>
      <w:r>
        <w:rPr>
          <w:rFonts w:ascii="Arial Narrow" w:eastAsia="Arial Narrow" w:hAnsi="Arial Narrow" w:cs="Arial Narrow"/>
          <w:i/>
          <w:iCs/>
          <w:color w:val="000000"/>
          <w:sz w:val="24"/>
          <w:szCs w:val="24"/>
        </w:rPr>
        <w:t>CIERA Y JURÍDICA AL CONTRATO 246-2023 QUE TIENE POR OBJETO "SUMINISTRO, INSTALACIÓN, PARAMETRIZACIÓN Y PUESTA EN FUNCIONAMIENTO DE LOS EQUIPOS NECESARIOS PARA EL FUNCIONAMIENTO DEL SISTEMA DE RECAUDO CENTRALIZADO (SRC), SISTEMA DE CONTROL Y GESTIÓN DE FLOT</w:t>
      </w:r>
      <w:r>
        <w:rPr>
          <w:rFonts w:ascii="Arial Narrow" w:eastAsia="Arial Narrow" w:hAnsi="Arial Narrow" w:cs="Arial Narrow"/>
          <w:i/>
          <w:iCs/>
          <w:color w:val="000000"/>
          <w:sz w:val="24"/>
          <w:szCs w:val="24"/>
        </w:rPr>
        <w:t>A (SGCF) Y EL SISTEMA DE INFORMACIÓN Y SERVICIO AL USUARIO (SIU) PARA EL SISTEMA ESTRATÉGICO DE TRANSPORTE PÚBLICO DE POPAYÁN".</w:t>
      </w:r>
    </w:p>
    <w:p w:rsidR="00FF1F16" w:rsidRDefault="00FF1F16">
      <w:pPr>
        <w:pBdr>
          <w:top w:val="nil"/>
          <w:left w:val="nil"/>
          <w:bottom w:val="nil"/>
          <w:right w:val="nil"/>
          <w:between w:val="nil"/>
        </w:pBdr>
        <w:spacing w:line="240" w:lineRule="auto"/>
        <w:ind w:left="426"/>
        <w:jc w:val="both"/>
        <w:rPr>
          <w:rFonts w:ascii="Arial Narrow" w:eastAsia="Arial Narrow" w:hAnsi="Arial Narrow" w:cs="Arial Narrow"/>
          <w:sz w:val="24"/>
          <w:szCs w:val="24"/>
        </w:rPr>
      </w:pPr>
    </w:p>
    <w:p w:rsidR="00FF1F16" w:rsidRDefault="004A6500">
      <w:pPr>
        <w:pBdr>
          <w:top w:val="nil"/>
          <w:left w:val="nil"/>
          <w:bottom w:val="nil"/>
          <w:right w:val="nil"/>
          <w:between w:val="nil"/>
        </w:pBdr>
        <w:spacing w:line="240" w:lineRule="auto"/>
        <w:ind w:left="426"/>
        <w:jc w:val="both"/>
        <w:rPr>
          <w:rFonts w:ascii="Arial Narrow" w:eastAsia="Arial Narrow" w:hAnsi="Arial Narrow" w:cs="Arial Narrow"/>
          <w:sz w:val="24"/>
          <w:szCs w:val="24"/>
        </w:rPr>
      </w:pPr>
      <w:r>
        <w:rPr>
          <w:rFonts w:ascii="Arial Narrow" w:eastAsia="Arial Narrow" w:hAnsi="Arial Narrow" w:cs="Arial Narrow"/>
          <w:sz w:val="24"/>
          <w:szCs w:val="24"/>
        </w:rPr>
        <w:t xml:space="preserve">Durante la etapa precontractual del proceso se recibieron observaciones y manifestaciones de interés por parte de cinco (5) posibles oferentes, las cuales estuvieron asociadas principalmente a aspectos técnicos del contrato de suministro No. 246 de 2023 y </w:t>
      </w:r>
      <w:r>
        <w:rPr>
          <w:rFonts w:ascii="Arial Narrow" w:eastAsia="Arial Narrow" w:hAnsi="Arial Narrow" w:cs="Arial Narrow"/>
          <w:sz w:val="24"/>
          <w:szCs w:val="24"/>
        </w:rPr>
        <w:t>al alcance de la interventoría proyectada. Estas observaciones fueron analizadas y atendidas por la entidad dentro de las etapas correspondientes del proceso de selección, permitiendo continuar con el desarrollo del concurso de méritos conforme al cronogra</w:t>
      </w:r>
      <w:r>
        <w:rPr>
          <w:rFonts w:ascii="Arial Narrow" w:eastAsia="Arial Narrow" w:hAnsi="Arial Narrow" w:cs="Arial Narrow"/>
          <w:sz w:val="24"/>
          <w:szCs w:val="24"/>
        </w:rPr>
        <w:t>ma establecido.</w:t>
      </w:r>
    </w:p>
    <w:p w:rsidR="00FF1F16" w:rsidRDefault="004A6500">
      <w:pPr>
        <w:pBdr>
          <w:top w:val="nil"/>
          <w:left w:val="nil"/>
          <w:bottom w:val="nil"/>
          <w:right w:val="nil"/>
          <w:between w:val="nil"/>
        </w:pBdr>
        <w:spacing w:line="240" w:lineRule="auto"/>
        <w:ind w:left="426"/>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rsidR="00FF1F16" w:rsidRDefault="004A6500">
      <w:pPr>
        <w:pBdr>
          <w:top w:val="nil"/>
          <w:left w:val="nil"/>
          <w:bottom w:val="nil"/>
          <w:right w:val="nil"/>
          <w:between w:val="nil"/>
        </w:pBdr>
        <w:spacing w:line="240" w:lineRule="auto"/>
        <w:ind w:left="426"/>
        <w:jc w:val="both"/>
        <w:rPr>
          <w:rFonts w:ascii="Arial Narrow" w:eastAsia="Arial Narrow" w:hAnsi="Arial Narrow" w:cs="Arial Narrow"/>
          <w:sz w:val="24"/>
          <w:szCs w:val="24"/>
        </w:rPr>
      </w:pPr>
      <w:r>
        <w:rPr>
          <w:rFonts w:ascii="Arial Narrow" w:eastAsia="Arial Narrow" w:hAnsi="Arial Narrow" w:cs="Arial Narrow"/>
          <w:sz w:val="24"/>
          <w:szCs w:val="24"/>
        </w:rPr>
        <w:t>En desarrollo del proceso contractual, el Ente Gestor adelantó las actuaciones correspondientes a publicación de respuestas a observaciones, apertura del proceso, recepción y evaluación de ofertas, así como el análisis técnico, jurídico y</w:t>
      </w:r>
      <w:r>
        <w:rPr>
          <w:rFonts w:ascii="Arial Narrow" w:eastAsia="Arial Narrow" w:hAnsi="Arial Narrow" w:cs="Arial Narrow"/>
          <w:sz w:val="24"/>
          <w:szCs w:val="24"/>
        </w:rPr>
        <w:t xml:space="preserve"> financiero de las propuestas presentadas, garantizando el cumplimiento de los principios de publicidad, transparencia y selección objetiva que rigen la contratación estatal.</w:t>
      </w:r>
    </w:p>
    <w:p w:rsidR="00FF1F16" w:rsidRDefault="00FF1F16">
      <w:pPr>
        <w:pBdr>
          <w:top w:val="nil"/>
          <w:left w:val="nil"/>
          <w:bottom w:val="nil"/>
          <w:right w:val="nil"/>
          <w:between w:val="nil"/>
        </w:pBdr>
        <w:spacing w:line="240" w:lineRule="auto"/>
        <w:ind w:left="426"/>
        <w:jc w:val="both"/>
        <w:rPr>
          <w:rFonts w:ascii="Arial Narrow" w:eastAsia="Arial Narrow" w:hAnsi="Arial Narrow" w:cs="Arial Narrow"/>
          <w:sz w:val="24"/>
          <w:szCs w:val="24"/>
        </w:rPr>
      </w:pPr>
    </w:p>
    <w:p w:rsidR="00FF1F16" w:rsidRDefault="004A6500">
      <w:pPr>
        <w:spacing w:before="240" w:after="240"/>
        <w:ind w:left="283"/>
        <w:jc w:val="both"/>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Resultados obtenidos:</w:t>
      </w:r>
    </w:p>
    <w:p w:rsidR="00FF1F16" w:rsidRDefault="004A6500">
      <w:pPr>
        <w:pBdr>
          <w:top w:val="nil"/>
          <w:left w:val="nil"/>
          <w:bottom w:val="nil"/>
          <w:right w:val="nil"/>
          <w:between w:val="nil"/>
        </w:pBdr>
        <w:spacing w:line="240" w:lineRule="auto"/>
        <w:ind w:left="426"/>
        <w:jc w:val="both"/>
        <w:rPr>
          <w:rFonts w:ascii="Arial Narrow" w:eastAsia="Arial Narrow" w:hAnsi="Arial Narrow" w:cs="Arial Narrow"/>
          <w:sz w:val="24"/>
          <w:szCs w:val="24"/>
        </w:rPr>
      </w:pPr>
      <w:r>
        <w:rPr>
          <w:rFonts w:ascii="Arial Narrow" w:eastAsia="Arial Narrow" w:hAnsi="Arial Narrow" w:cs="Arial Narrow"/>
          <w:sz w:val="24"/>
          <w:szCs w:val="24"/>
        </w:rPr>
        <w:t>Como resultado del proceso de selección adelantado, se rec</w:t>
      </w:r>
      <w:r>
        <w:rPr>
          <w:rFonts w:ascii="Arial Narrow" w:eastAsia="Arial Narrow" w:hAnsi="Arial Narrow" w:cs="Arial Narrow"/>
          <w:sz w:val="24"/>
          <w:szCs w:val="24"/>
        </w:rPr>
        <w:t>ibieron dos (2) propuestas correspondientes al Consorcio Recaudo INGEOC y Comercializadora ORIKUA S.A.S., frente a las cuales se surtieron las etapas de evaluación preliminar, traslado de observaciones y verificación de requisitos habilitantes.</w:t>
      </w:r>
    </w:p>
    <w:p w:rsidR="00FF1F16" w:rsidRDefault="004A6500">
      <w:pPr>
        <w:pBdr>
          <w:top w:val="nil"/>
          <w:left w:val="nil"/>
          <w:bottom w:val="nil"/>
          <w:right w:val="nil"/>
          <w:between w:val="nil"/>
        </w:pBdr>
        <w:spacing w:line="240" w:lineRule="auto"/>
        <w:ind w:left="426"/>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rsidR="00FF1F16" w:rsidRDefault="004A6500">
      <w:pPr>
        <w:pBdr>
          <w:top w:val="nil"/>
          <w:left w:val="nil"/>
          <w:bottom w:val="nil"/>
          <w:right w:val="nil"/>
          <w:between w:val="nil"/>
        </w:pBdr>
        <w:spacing w:line="240" w:lineRule="auto"/>
        <w:ind w:left="426"/>
        <w:jc w:val="both"/>
        <w:rPr>
          <w:rFonts w:ascii="Arial Narrow" w:eastAsia="Arial Narrow" w:hAnsi="Arial Narrow" w:cs="Arial Narrow"/>
          <w:sz w:val="24"/>
          <w:szCs w:val="24"/>
        </w:rPr>
      </w:pPr>
      <w:r>
        <w:rPr>
          <w:rFonts w:ascii="Arial Narrow" w:eastAsia="Arial Narrow" w:hAnsi="Arial Narrow" w:cs="Arial Narrow"/>
          <w:sz w:val="24"/>
          <w:szCs w:val="24"/>
        </w:rPr>
        <w:t xml:space="preserve">Producto </w:t>
      </w:r>
      <w:r>
        <w:rPr>
          <w:rFonts w:ascii="Arial Narrow" w:eastAsia="Arial Narrow" w:hAnsi="Arial Narrow" w:cs="Arial Narrow"/>
          <w:sz w:val="24"/>
          <w:szCs w:val="24"/>
        </w:rPr>
        <w:t xml:space="preserve">del análisis efectuado por el comité evaluador y una vez revisadas las observaciones y documentos subsanables allegados por los oferentes, se emitió recomendación de declaratoria de </w:t>
      </w:r>
      <w:r>
        <w:rPr>
          <w:rFonts w:ascii="Arial Narrow" w:eastAsia="Arial Narrow" w:hAnsi="Arial Narrow" w:cs="Arial Narrow"/>
          <w:sz w:val="24"/>
          <w:szCs w:val="24"/>
        </w:rPr>
        <w:lastRenderedPageBreak/>
        <w:t>desierta del proceso, teniendo en cuenta que ninguna de las propuestas cum</w:t>
      </w:r>
      <w:r>
        <w:rPr>
          <w:rFonts w:ascii="Arial Narrow" w:eastAsia="Arial Narrow" w:hAnsi="Arial Narrow" w:cs="Arial Narrow"/>
          <w:sz w:val="24"/>
          <w:szCs w:val="24"/>
        </w:rPr>
        <w:t>plió integralmente con las condiciones y exigencias establecidas en el pliego de condiciones. Entre las causales identificadas se encontraron la no habilitación por experiencia específica del oferente, incumplimiento del personal mínimo exigido, insuficien</w:t>
      </w:r>
      <w:r>
        <w:rPr>
          <w:rFonts w:ascii="Arial Narrow" w:eastAsia="Arial Narrow" w:hAnsi="Arial Narrow" w:cs="Arial Narrow"/>
          <w:sz w:val="24"/>
          <w:szCs w:val="24"/>
        </w:rPr>
        <w:t>cia en la acreditación de experiencia del equipo de trabajo y rechazo por no subsanar en debida forma la póliza de seriedad de la oferta.</w:t>
      </w:r>
    </w:p>
    <w:p w:rsidR="00FF1F16" w:rsidRDefault="004A6500">
      <w:pPr>
        <w:pBdr>
          <w:top w:val="nil"/>
          <w:left w:val="nil"/>
          <w:bottom w:val="nil"/>
          <w:right w:val="nil"/>
          <w:between w:val="nil"/>
        </w:pBdr>
        <w:spacing w:line="240" w:lineRule="auto"/>
        <w:ind w:left="426"/>
        <w:jc w:val="both"/>
        <w:rPr>
          <w:rFonts w:ascii="Arial Narrow" w:eastAsia="Arial Narrow" w:hAnsi="Arial Narrow" w:cs="Arial Narrow"/>
          <w:sz w:val="24"/>
          <w:szCs w:val="24"/>
        </w:rPr>
      </w:pPr>
      <w:r>
        <w:rPr>
          <w:rFonts w:ascii="Arial Narrow" w:eastAsia="Arial Narrow" w:hAnsi="Arial Narrow" w:cs="Arial Narrow"/>
          <w:sz w:val="24"/>
          <w:szCs w:val="24"/>
        </w:rPr>
        <w:t>Con fundamento en lo anterior, el 24 de marzo de 2026 se expidió la resolución correspondiente de declaratoria de desi</w:t>
      </w:r>
      <w:r>
        <w:rPr>
          <w:rFonts w:ascii="Arial Narrow" w:eastAsia="Arial Narrow" w:hAnsi="Arial Narrow" w:cs="Arial Narrow"/>
          <w:sz w:val="24"/>
          <w:szCs w:val="24"/>
        </w:rPr>
        <w:t>erto, decisión que quedó en firme al no presentarse recurso alguno dentro del término legal previsto para ello.</w:t>
      </w:r>
    </w:p>
    <w:p w:rsidR="00FF1F16" w:rsidRDefault="004A6500">
      <w:pPr>
        <w:pBdr>
          <w:top w:val="nil"/>
          <w:left w:val="nil"/>
          <w:bottom w:val="nil"/>
          <w:right w:val="nil"/>
          <w:between w:val="nil"/>
        </w:pBdr>
        <w:spacing w:line="240" w:lineRule="auto"/>
        <w:ind w:left="426"/>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rsidR="00FF1F16" w:rsidRDefault="004A6500">
      <w:pPr>
        <w:pBdr>
          <w:top w:val="nil"/>
          <w:left w:val="nil"/>
          <w:bottom w:val="nil"/>
          <w:right w:val="nil"/>
          <w:between w:val="nil"/>
        </w:pBdr>
        <w:spacing w:line="240" w:lineRule="auto"/>
        <w:ind w:left="426"/>
        <w:jc w:val="both"/>
        <w:rPr>
          <w:rFonts w:ascii="Arial Narrow" w:eastAsia="Arial Narrow" w:hAnsi="Arial Narrow" w:cs="Arial Narrow"/>
          <w:sz w:val="24"/>
          <w:szCs w:val="24"/>
        </w:rPr>
      </w:pPr>
      <w:r>
        <w:rPr>
          <w:rFonts w:ascii="Arial Narrow" w:eastAsia="Arial Narrow" w:hAnsi="Arial Narrow" w:cs="Arial Narrow"/>
          <w:sz w:val="24"/>
          <w:szCs w:val="24"/>
        </w:rPr>
        <w:t>En este sentido, la declaratoria de desierta del proceso no constituye ausencia de gestión por parte del Ente Gestor, sino el resultado del de</w:t>
      </w:r>
      <w:r>
        <w:rPr>
          <w:rFonts w:ascii="Arial Narrow" w:eastAsia="Arial Narrow" w:hAnsi="Arial Narrow" w:cs="Arial Narrow"/>
          <w:sz w:val="24"/>
          <w:szCs w:val="24"/>
        </w:rPr>
        <w:t xml:space="preserve">ber legal de verificar el cumplimiento de los requisitos habilitantes y de garantizar los principios de transparencia, igualdad y selección objetiva que rigen la contratación estatal. En consecuencia, al no encontrarse oferentes habilitados conforme a las </w:t>
      </w:r>
      <w:r>
        <w:rPr>
          <w:rFonts w:ascii="Arial Narrow" w:eastAsia="Arial Narrow" w:hAnsi="Arial Narrow" w:cs="Arial Narrow"/>
          <w:sz w:val="24"/>
          <w:szCs w:val="24"/>
        </w:rPr>
        <w:t>condiciones establecidas en el proceso, no resultaba jurídicamente procedente adjudicar el contrato de interventoría.</w:t>
      </w:r>
    </w:p>
    <w:p w:rsidR="00FF1F16" w:rsidRDefault="004A6500">
      <w:pPr>
        <w:pBdr>
          <w:top w:val="nil"/>
          <w:left w:val="nil"/>
          <w:bottom w:val="nil"/>
          <w:right w:val="nil"/>
          <w:between w:val="nil"/>
        </w:pBdr>
        <w:spacing w:line="240" w:lineRule="auto"/>
        <w:ind w:left="426"/>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rsidR="00FF1F16" w:rsidRDefault="004A6500">
      <w:pPr>
        <w:pBdr>
          <w:top w:val="nil"/>
          <w:left w:val="nil"/>
          <w:bottom w:val="nil"/>
          <w:right w:val="nil"/>
          <w:between w:val="nil"/>
        </w:pBdr>
        <w:spacing w:line="240" w:lineRule="auto"/>
        <w:ind w:left="426"/>
        <w:jc w:val="both"/>
        <w:rPr>
          <w:rFonts w:ascii="Arial Narrow" w:eastAsia="Arial Narrow" w:hAnsi="Arial Narrow" w:cs="Arial Narrow"/>
          <w:sz w:val="24"/>
          <w:szCs w:val="24"/>
        </w:rPr>
      </w:pPr>
      <w:r>
        <w:rPr>
          <w:rFonts w:ascii="Arial Narrow" w:eastAsia="Arial Narrow" w:hAnsi="Arial Narrow" w:cs="Arial Narrow"/>
          <w:sz w:val="24"/>
          <w:szCs w:val="24"/>
        </w:rPr>
        <w:t>Considerando que la interventoría ITS constituye una condición habilitante indispensable para continuar con la instalación, verificación</w:t>
      </w:r>
      <w:r>
        <w:rPr>
          <w:rFonts w:ascii="Arial Narrow" w:eastAsia="Arial Narrow" w:hAnsi="Arial Narrow" w:cs="Arial Narrow"/>
          <w:sz w:val="24"/>
          <w:szCs w:val="24"/>
        </w:rPr>
        <w:t>, puesta en marcha y cierre técnico, legal y financiero de los sistemas tecnológicos asociados al recaudo, control de flota e información al usuario del SETP, el Ente Gestor estructuró una nueva ruta contractual y cronograma actualizado orientado a garanti</w:t>
      </w:r>
      <w:r>
        <w:rPr>
          <w:rFonts w:ascii="Arial Narrow" w:eastAsia="Arial Narrow" w:hAnsi="Arial Narrow" w:cs="Arial Narrow"/>
          <w:sz w:val="24"/>
          <w:szCs w:val="24"/>
        </w:rPr>
        <w:t>zar la continuidad del proceso y la implementación tecnológica del sistema. El nuevo cronograma contempla la reapertura del proceso contractual y proyecta el inicio de la interventoría para el mes de julio de 2026.</w:t>
      </w:r>
    </w:p>
    <w:p w:rsidR="00FF1F16" w:rsidRDefault="00FF1F16">
      <w:pPr>
        <w:pBdr>
          <w:top w:val="nil"/>
          <w:left w:val="nil"/>
          <w:bottom w:val="nil"/>
          <w:right w:val="nil"/>
          <w:between w:val="nil"/>
        </w:pBdr>
        <w:spacing w:before="240" w:after="240" w:line="240" w:lineRule="auto"/>
        <w:ind w:left="720"/>
        <w:jc w:val="both"/>
        <w:rPr>
          <w:rFonts w:ascii="Arial Narrow" w:eastAsia="Arial Narrow" w:hAnsi="Arial Narrow" w:cs="Arial Narrow"/>
          <w:sz w:val="24"/>
          <w:szCs w:val="24"/>
        </w:rPr>
      </w:pPr>
    </w:p>
    <w:p w:rsidR="00FF1F16" w:rsidRDefault="004A6500">
      <w:pPr>
        <w:spacing w:before="240" w:after="240"/>
        <w:jc w:val="both"/>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Plan de trabajo para cada compromiso, con cronograma y actores implicados:</w:t>
      </w:r>
    </w:p>
    <w:p w:rsidR="00FF1F16" w:rsidRDefault="004A6500">
      <w:pPr>
        <w:pBdr>
          <w:top w:val="nil"/>
          <w:left w:val="nil"/>
          <w:bottom w:val="nil"/>
          <w:right w:val="nil"/>
          <w:between w:val="nil"/>
        </w:pBdr>
        <w:spacing w:line="240" w:lineRule="auto"/>
        <w:ind w:left="426"/>
        <w:jc w:val="both"/>
        <w:rPr>
          <w:rFonts w:ascii="Arial Narrow" w:eastAsia="Arial Narrow" w:hAnsi="Arial Narrow" w:cs="Arial Narrow"/>
          <w:sz w:val="24"/>
          <w:szCs w:val="24"/>
        </w:rPr>
      </w:pPr>
      <w:r>
        <w:rPr>
          <w:rFonts w:ascii="Arial Narrow" w:eastAsia="Arial Narrow" w:hAnsi="Arial Narrow" w:cs="Arial Narrow"/>
          <w:sz w:val="24"/>
          <w:szCs w:val="24"/>
        </w:rPr>
        <w:t>Se plantea nuevamente publicar el proceso, con el siguiente cronograma:</w:t>
      </w:r>
    </w:p>
    <w:p w:rsidR="00FF1F16" w:rsidRDefault="004A6500">
      <w:pPr>
        <w:pBdr>
          <w:top w:val="nil"/>
          <w:left w:val="nil"/>
          <w:bottom w:val="nil"/>
          <w:right w:val="nil"/>
          <w:between w:val="nil"/>
        </w:pBdr>
        <w:spacing w:line="240" w:lineRule="auto"/>
        <w:ind w:left="426"/>
        <w:jc w:val="both"/>
        <w:rPr>
          <w:rFonts w:ascii="Arial Narrow" w:eastAsia="Arial Narrow" w:hAnsi="Arial Narrow" w:cs="Arial Narrow"/>
          <w:sz w:val="24"/>
          <w:szCs w:val="24"/>
        </w:rPr>
      </w:pPr>
      <w:r>
        <w:rPr>
          <w:rFonts w:ascii="Arial Narrow" w:eastAsia="Arial Narrow" w:hAnsi="Arial Narrow" w:cs="Arial Narrow"/>
          <w:sz w:val="24"/>
          <w:szCs w:val="24"/>
        </w:rPr>
        <w:t>De acuerdo con el cronograma establecido, se prevé que el proceso de selección sea adjudicado el día 3 de jul</w:t>
      </w:r>
      <w:r>
        <w:rPr>
          <w:rFonts w:ascii="Arial Narrow" w:eastAsia="Arial Narrow" w:hAnsi="Arial Narrow" w:cs="Arial Narrow"/>
          <w:sz w:val="24"/>
          <w:szCs w:val="24"/>
        </w:rPr>
        <w:t>io de 2026, siempre que las etapas previstas se desarrollen conforme a lo programado. No obstante, y considerando posibles situaciones imprevistas que puedan surgir durante el trámite del proceso, tales como observaciones, solicitudes de aclaración, expedi</w:t>
      </w:r>
      <w:r>
        <w:rPr>
          <w:rFonts w:ascii="Arial Narrow" w:eastAsia="Arial Narrow" w:hAnsi="Arial Narrow" w:cs="Arial Narrow"/>
          <w:sz w:val="24"/>
          <w:szCs w:val="24"/>
        </w:rPr>
        <w:t xml:space="preserve">ción de adendas o aspectos administrativos propios de la evaluación, se estima que la adjudicación podría extenderse aproximadamente dos (2) semanas adicionales. </w:t>
      </w:r>
    </w:p>
    <w:p w:rsidR="00FF1F16" w:rsidRDefault="00FF1F16">
      <w:pPr>
        <w:spacing w:before="240" w:after="240"/>
        <w:jc w:val="both"/>
        <w:rPr>
          <w:rFonts w:ascii="Arial Narrow" w:eastAsia="Arial Narrow" w:hAnsi="Arial Narrow" w:cs="Arial Narrow"/>
          <w:sz w:val="24"/>
          <w:szCs w:val="24"/>
        </w:rPr>
      </w:pPr>
    </w:p>
    <w:p w:rsidR="00FF1F16" w:rsidRDefault="00FF1F16">
      <w:pPr>
        <w:spacing w:before="240" w:after="240"/>
        <w:jc w:val="both"/>
        <w:rPr>
          <w:rFonts w:ascii="Arial Narrow" w:eastAsia="Arial Narrow" w:hAnsi="Arial Narrow" w:cs="Arial Narrow"/>
          <w:sz w:val="24"/>
          <w:szCs w:val="24"/>
        </w:rPr>
      </w:pPr>
    </w:p>
    <w:p w:rsidR="00FF1F16" w:rsidRDefault="00FF1F16">
      <w:pPr>
        <w:spacing w:before="240" w:after="240"/>
        <w:jc w:val="both"/>
        <w:rPr>
          <w:rFonts w:ascii="Arial Narrow" w:eastAsia="Arial Narrow" w:hAnsi="Arial Narrow" w:cs="Arial Narrow"/>
          <w:sz w:val="24"/>
          <w:szCs w:val="24"/>
        </w:rPr>
      </w:pPr>
    </w:p>
    <w:p w:rsidR="00FF1F16" w:rsidRDefault="00FF1F16">
      <w:pPr>
        <w:spacing w:line="240" w:lineRule="auto"/>
        <w:ind w:left="720"/>
        <w:jc w:val="both"/>
        <w:rPr>
          <w:rFonts w:ascii="Arial Narrow" w:eastAsia="Arial Narrow" w:hAnsi="Arial Narrow" w:cs="Arial Narrow"/>
          <w:b/>
          <w:bCs/>
        </w:rPr>
      </w:pPr>
    </w:p>
    <w:tbl>
      <w:tblPr>
        <w:tblStyle w:val="a"/>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045"/>
        <w:gridCol w:w="2955"/>
      </w:tblGrid>
      <w:tr w:rsidR="00FF1F16">
        <w:trPr>
          <w:trHeight w:val="330"/>
        </w:trPr>
        <w:tc>
          <w:tcPr>
            <w:tcW w:w="6045" w:type="dxa"/>
            <w:tcBorders>
              <w:top w:val="single" w:sz="7" w:space="0" w:color="BFBFBF"/>
              <w:left w:val="single" w:sz="7" w:space="0" w:color="BFBFBF"/>
              <w:bottom w:val="single" w:sz="7" w:space="0" w:color="BFBFBF"/>
              <w:right w:val="single" w:sz="7" w:space="0" w:color="BFBFBF"/>
            </w:tcBorders>
            <w:shd w:val="clear" w:color="auto" w:fill="E8E8E8"/>
            <w:tcMar>
              <w:top w:w="0" w:type="dxa"/>
              <w:left w:w="100" w:type="dxa"/>
              <w:bottom w:w="0" w:type="dxa"/>
              <w:right w:w="100" w:type="dxa"/>
            </w:tcMar>
          </w:tcPr>
          <w:p w:rsidR="00FF1F16" w:rsidRDefault="004A6500">
            <w:pPr>
              <w:jc w:val="center"/>
              <w:rPr>
                <w:rFonts w:ascii="Arial Narrow" w:eastAsia="Arial Narrow" w:hAnsi="Arial Narrow" w:cs="Arial Narrow"/>
                <w:b/>
                <w:bCs/>
              </w:rPr>
            </w:pPr>
            <w:r>
              <w:rPr>
                <w:rFonts w:ascii="Arial Narrow" w:eastAsia="Arial Narrow" w:hAnsi="Arial Narrow" w:cs="Arial Narrow"/>
                <w:b/>
                <w:bCs/>
              </w:rPr>
              <w:t>ACTIVIDAD</w:t>
            </w:r>
          </w:p>
        </w:tc>
        <w:tc>
          <w:tcPr>
            <w:tcW w:w="2955" w:type="dxa"/>
            <w:tcBorders>
              <w:top w:val="single" w:sz="7" w:space="0" w:color="BFBFBF"/>
              <w:left w:val="nil"/>
              <w:bottom w:val="single" w:sz="7" w:space="0" w:color="BFBFBF"/>
              <w:right w:val="single" w:sz="7" w:space="0" w:color="BFBFBF"/>
            </w:tcBorders>
            <w:shd w:val="clear" w:color="auto" w:fill="E8E8E8"/>
            <w:tcMar>
              <w:top w:w="0" w:type="dxa"/>
              <w:left w:w="100" w:type="dxa"/>
              <w:bottom w:w="0" w:type="dxa"/>
              <w:right w:w="100" w:type="dxa"/>
            </w:tcMar>
          </w:tcPr>
          <w:p w:rsidR="00FF1F16" w:rsidRDefault="004A6500">
            <w:pPr>
              <w:jc w:val="center"/>
              <w:rPr>
                <w:rFonts w:ascii="Arial Narrow" w:eastAsia="Arial Narrow" w:hAnsi="Arial Narrow" w:cs="Arial Narrow"/>
                <w:b/>
                <w:bCs/>
              </w:rPr>
            </w:pPr>
            <w:r>
              <w:rPr>
                <w:rFonts w:ascii="Arial Narrow" w:eastAsia="Arial Narrow" w:hAnsi="Arial Narrow" w:cs="Arial Narrow"/>
                <w:b/>
                <w:bCs/>
              </w:rPr>
              <w:t>FECHA Y HORA</w:t>
            </w:r>
          </w:p>
        </w:tc>
      </w:tr>
      <w:tr w:rsidR="00FF1F16">
        <w:trPr>
          <w:trHeight w:val="435"/>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Publicación del aviso de convocatoria pública</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 xml:space="preserve">26/05/2026 </w:t>
            </w:r>
          </w:p>
        </w:tc>
      </w:tr>
      <w:tr w:rsidR="00FF1F16">
        <w:trPr>
          <w:trHeight w:val="45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Publicación de estudios previos</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 xml:space="preserve">26/05/2026 </w:t>
            </w:r>
          </w:p>
        </w:tc>
      </w:tr>
      <w:tr w:rsidR="00FF1F16">
        <w:trPr>
          <w:trHeight w:val="585"/>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Fecha de publicación del proyecto de pliego de condiciones</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 xml:space="preserve">26/05/2026 </w:t>
            </w:r>
          </w:p>
        </w:tc>
      </w:tr>
      <w:tr w:rsidR="00FF1F16">
        <w:trPr>
          <w:trHeight w:val="45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Plazo para presentar observaciones al proyecto de Pliego de Condiciones</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 xml:space="preserve">02/06/2026 </w:t>
            </w:r>
          </w:p>
        </w:tc>
      </w:tr>
      <w:tr w:rsidR="00FF1F16">
        <w:trPr>
          <w:trHeight w:val="48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 xml:space="preserve">Plazo para manifestación de interés de limitar la convocatoria a </w:t>
            </w:r>
            <w:proofErr w:type="spellStart"/>
            <w:r>
              <w:rPr>
                <w:rFonts w:ascii="Arial Narrow" w:eastAsia="Arial Narrow" w:hAnsi="Arial Narrow" w:cs="Arial Narrow"/>
              </w:rPr>
              <w:t>Mypes</w:t>
            </w:r>
            <w:proofErr w:type="spellEnd"/>
            <w:r>
              <w:rPr>
                <w:rFonts w:ascii="Arial Narrow" w:eastAsia="Arial Narrow" w:hAnsi="Arial Narrow" w:cs="Arial Narrow"/>
              </w:rPr>
              <w:t xml:space="preserve"> y/o MiPymes</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No aplica</w:t>
            </w:r>
          </w:p>
        </w:tc>
      </w:tr>
      <w:tr w:rsidR="00FF1F16">
        <w:trPr>
          <w:trHeight w:val="45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Respuesta a las observaciones al Proyecto de Pliego de Condiciones</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 xml:space="preserve">03/06/2026 </w:t>
            </w:r>
          </w:p>
        </w:tc>
      </w:tr>
      <w:tr w:rsidR="00FF1F16">
        <w:trPr>
          <w:trHeight w:val="45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Fecha prevista de publicación de los pliegos de condiciones definitivos</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 xml:space="preserve">03/06/2026 </w:t>
            </w:r>
          </w:p>
        </w:tc>
      </w:tr>
      <w:tr w:rsidR="00FF1F16">
        <w:trPr>
          <w:trHeight w:val="48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Expedición y publicación del acto administrativo de apertura del proceso de selección</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 xml:space="preserve">03/06/2026 </w:t>
            </w:r>
          </w:p>
        </w:tc>
      </w:tr>
      <w:tr w:rsidR="00FF1F16">
        <w:trPr>
          <w:trHeight w:val="45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Presentación de observaciones a los Pliegos de Condiciones definitivos</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 xml:space="preserve">09/06/2026 </w:t>
            </w:r>
          </w:p>
        </w:tc>
      </w:tr>
      <w:tr w:rsidR="00FF1F16">
        <w:trPr>
          <w:trHeight w:val="45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Respuesta a las observaciones al Pliego de Condiciones definitivo</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09/06/2026.</w:t>
            </w:r>
          </w:p>
        </w:tc>
      </w:tr>
      <w:tr w:rsidR="00FF1F16">
        <w:trPr>
          <w:trHeight w:val="45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Plazo máximo para expedir adendas</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 xml:space="preserve">09/06/2026 </w:t>
            </w:r>
          </w:p>
        </w:tc>
      </w:tr>
      <w:tr w:rsidR="00FF1F16">
        <w:trPr>
          <w:trHeight w:val="45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Presentación de ofertas</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 xml:space="preserve">10/06/2026 </w:t>
            </w:r>
          </w:p>
        </w:tc>
      </w:tr>
      <w:tr w:rsidR="00FF1F16">
        <w:trPr>
          <w:trHeight w:val="45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Apertura de ofertas</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 xml:space="preserve">10/06/2026 </w:t>
            </w:r>
          </w:p>
        </w:tc>
      </w:tr>
      <w:tr w:rsidR="00FF1F16">
        <w:trPr>
          <w:trHeight w:val="45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Informe de presentación de ofertas</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 xml:space="preserve">10/06/2026 </w:t>
            </w:r>
          </w:p>
        </w:tc>
      </w:tr>
      <w:tr w:rsidR="00FF1F16">
        <w:trPr>
          <w:trHeight w:val="45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Publicación del informe de evaluación de las ofertas</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 xml:space="preserve">16/06/2026 </w:t>
            </w:r>
          </w:p>
        </w:tc>
      </w:tr>
      <w:tr w:rsidR="00FF1F16">
        <w:trPr>
          <w:trHeight w:val="45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Presentación de observaciones al informe de evaluación de las ofertas</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 xml:space="preserve">19/06/2026 </w:t>
            </w:r>
          </w:p>
        </w:tc>
      </w:tr>
      <w:tr w:rsidR="00FF1F16">
        <w:trPr>
          <w:trHeight w:val="45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Expedición del acto de adjudicación o declaratoria desierta</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22/06/2026</w:t>
            </w:r>
          </w:p>
        </w:tc>
      </w:tr>
      <w:tr w:rsidR="00FF1F16">
        <w:trPr>
          <w:trHeight w:val="45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Firma del contrato</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 xml:space="preserve">25/06/2026 </w:t>
            </w:r>
          </w:p>
        </w:tc>
      </w:tr>
      <w:tr w:rsidR="00FF1F16">
        <w:trPr>
          <w:trHeight w:val="45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Entrega de las garantías o pólizas de ejecución del contrato</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30/06/2026</w:t>
            </w:r>
          </w:p>
        </w:tc>
      </w:tr>
      <w:tr w:rsidR="00FF1F16">
        <w:trPr>
          <w:trHeight w:val="450"/>
        </w:trPr>
        <w:tc>
          <w:tcPr>
            <w:tcW w:w="6045" w:type="dxa"/>
            <w:tcBorders>
              <w:top w:val="nil"/>
              <w:left w:val="single" w:sz="7" w:space="0" w:color="BFBFBF"/>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Aprobación de las garantías o pólizas e inicio de ejecución del contrato</w:t>
            </w:r>
          </w:p>
        </w:tc>
        <w:tc>
          <w:tcPr>
            <w:tcW w:w="2955" w:type="dxa"/>
            <w:tcBorders>
              <w:top w:val="nil"/>
              <w:left w:val="nil"/>
              <w:bottom w:val="single" w:sz="7" w:space="0" w:color="BFBFBF"/>
              <w:right w:val="single" w:sz="7" w:space="0" w:color="BFBFBF"/>
            </w:tcBorders>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rPr>
              <w:t>03/07/2026</w:t>
            </w:r>
          </w:p>
        </w:tc>
      </w:tr>
    </w:tbl>
    <w:p w:rsidR="00FF1F16" w:rsidRDefault="004A6500">
      <w:pPr>
        <w:spacing w:before="240" w:after="240"/>
        <w:jc w:val="both"/>
        <w:rPr>
          <w:rFonts w:ascii="Arial Narrow" w:eastAsia="Arial Narrow" w:hAnsi="Arial Narrow" w:cs="Arial Narrow"/>
          <w:b/>
          <w:bCs/>
          <w:sz w:val="24"/>
          <w:szCs w:val="24"/>
        </w:rPr>
      </w:pPr>
      <w:r>
        <w:rPr>
          <w:rFonts w:ascii="Arial Narrow" w:eastAsia="Arial Narrow" w:hAnsi="Arial Narrow" w:cs="Arial Narrow"/>
          <w:b/>
          <w:bCs/>
          <w:sz w:val="24"/>
          <w:szCs w:val="24"/>
          <w:u w:val="single"/>
        </w:rPr>
        <w:t>Propuesta de reprogramación de fechas:</w:t>
      </w:r>
      <w:r>
        <w:rPr>
          <w:rFonts w:ascii="Arial Narrow" w:eastAsia="Arial Narrow" w:hAnsi="Arial Narrow" w:cs="Arial Narrow"/>
          <w:b/>
          <w:bCs/>
          <w:sz w:val="24"/>
          <w:szCs w:val="24"/>
        </w:rPr>
        <w:t xml:space="preserve"> </w:t>
      </w:r>
    </w:p>
    <w:p w:rsidR="00FF1F16" w:rsidRDefault="004A6500">
      <w:pPr>
        <w:spacing w:before="240" w:after="240"/>
        <w:jc w:val="both"/>
        <w:rPr>
          <w:rFonts w:ascii="Arial Narrow" w:eastAsia="Arial Narrow" w:hAnsi="Arial Narrow" w:cs="Arial Narrow"/>
          <w:sz w:val="24"/>
          <w:szCs w:val="24"/>
        </w:rPr>
      </w:pPr>
      <w:r>
        <w:rPr>
          <w:rFonts w:ascii="Arial Narrow" w:eastAsia="Arial Narrow" w:hAnsi="Arial Narrow" w:cs="Arial Narrow"/>
          <w:b/>
          <w:bCs/>
          <w:sz w:val="24"/>
          <w:szCs w:val="24"/>
        </w:rPr>
        <w:t xml:space="preserve">Nueva fecha para cumplimiento: </w:t>
      </w:r>
      <w:r>
        <w:rPr>
          <w:rFonts w:ascii="Arial Narrow" w:eastAsia="Arial Narrow" w:hAnsi="Arial Narrow" w:cs="Arial Narrow"/>
          <w:sz w:val="24"/>
          <w:szCs w:val="24"/>
        </w:rPr>
        <w:t xml:space="preserve"> julio de 2026.</w:t>
      </w:r>
    </w:p>
    <w:p w:rsidR="00FF1F16" w:rsidRDefault="00FF1F16">
      <w:pPr>
        <w:pBdr>
          <w:top w:val="nil"/>
          <w:left w:val="nil"/>
          <w:bottom w:val="nil"/>
          <w:right w:val="nil"/>
          <w:between w:val="nil"/>
        </w:pBdr>
        <w:spacing w:line="240" w:lineRule="auto"/>
        <w:ind w:left="720"/>
        <w:jc w:val="both"/>
        <w:rPr>
          <w:rFonts w:ascii="Arial Narrow" w:eastAsia="Arial Narrow" w:hAnsi="Arial Narrow" w:cs="Arial Narrow"/>
          <w:b/>
          <w:bCs/>
        </w:rPr>
      </w:pPr>
    </w:p>
    <w:p w:rsidR="00FF1F16" w:rsidRDefault="004A6500">
      <w:pPr>
        <w:numPr>
          <w:ilvl w:val="0"/>
          <w:numId w:val="1"/>
        </w:numPr>
        <w:pBdr>
          <w:top w:val="nil"/>
          <w:left w:val="nil"/>
          <w:bottom w:val="nil"/>
          <w:right w:val="nil"/>
          <w:between w:val="nil"/>
        </w:pBdr>
        <w:spacing w:line="240" w:lineRule="auto"/>
        <w:ind w:left="0"/>
        <w:jc w:val="both"/>
        <w:rPr>
          <w:rFonts w:ascii="Arial Narrow" w:eastAsia="Arial Narrow" w:hAnsi="Arial Narrow" w:cs="Arial Narrow"/>
          <w:b/>
          <w:bCs/>
          <w:color w:val="000000"/>
          <w:sz w:val="24"/>
          <w:szCs w:val="24"/>
        </w:rPr>
      </w:pPr>
      <w:r>
        <w:rPr>
          <w:rFonts w:ascii="Arial Narrow" w:eastAsia="Arial Narrow" w:hAnsi="Arial Narrow" w:cs="Arial Narrow"/>
          <w:b/>
          <w:bCs/>
          <w:color w:val="000000"/>
          <w:sz w:val="24"/>
          <w:szCs w:val="24"/>
        </w:rPr>
        <w:t xml:space="preserve">CONSTITUCIÓN DEL FONDO DE ESTABILIZACIÓN TARIFARIA "FET" PARA GARANTIZAR EL CIERRE FINANCIERO DE LA OPERACIÓN Y MITIGAR LA INCERTIDUMBRE Y RESISTENCIA EN LOS TRANSPORTADORES </w:t>
      </w:r>
    </w:p>
    <w:p w:rsidR="00FF1F16" w:rsidRDefault="00FF1F16">
      <w:pPr>
        <w:rPr>
          <w:rFonts w:ascii="Arial Narrow" w:eastAsia="Arial Narrow" w:hAnsi="Arial Narrow" w:cs="Arial Narrow"/>
          <w:b/>
          <w:bCs/>
          <w:sz w:val="24"/>
          <w:szCs w:val="24"/>
        </w:rPr>
      </w:pPr>
    </w:p>
    <w:p w:rsidR="00FF1F16" w:rsidRDefault="004A6500">
      <w:pPr>
        <w:rPr>
          <w:rFonts w:ascii="Arial Narrow" w:eastAsia="Arial Narrow" w:hAnsi="Arial Narrow" w:cs="Arial Narrow"/>
          <w:b/>
          <w:bCs/>
          <w:sz w:val="24"/>
          <w:szCs w:val="24"/>
        </w:rPr>
      </w:pPr>
      <w:r>
        <w:rPr>
          <w:rFonts w:ascii="Arial Narrow" w:eastAsia="Arial Narrow" w:hAnsi="Arial Narrow" w:cs="Arial Narrow"/>
          <w:b/>
          <w:bCs/>
          <w:sz w:val="24"/>
          <w:szCs w:val="24"/>
        </w:rPr>
        <w:t>Compromiso: 1</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 xml:space="preserve">Contratar la actualización del </w:t>
      </w:r>
      <w:r>
        <w:rPr>
          <w:rFonts w:ascii="Arial Narrow" w:eastAsia="Arial Narrow" w:hAnsi="Arial Narrow" w:cs="Arial Narrow"/>
          <w:sz w:val="24"/>
          <w:szCs w:val="24"/>
        </w:rPr>
        <w:t>E</w:t>
      </w:r>
      <w:r>
        <w:rPr>
          <w:rFonts w:ascii="Arial Narrow" w:eastAsia="Arial Narrow" w:hAnsi="Arial Narrow" w:cs="Arial Narrow"/>
          <w:color w:val="000000"/>
          <w:sz w:val="24"/>
          <w:szCs w:val="24"/>
        </w:rPr>
        <w:t xml:space="preserve">statuto </w:t>
      </w:r>
      <w:r>
        <w:rPr>
          <w:rFonts w:ascii="Arial Narrow" w:eastAsia="Arial Narrow" w:hAnsi="Arial Narrow" w:cs="Arial Narrow"/>
          <w:sz w:val="24"/>
          <w:szCs w:val="24"/>
        </w:rPr>
        <w:t>T</w:t>
      </w:r>
      <w:r>
        <w:rPr>
          <w:rFonts w:ascii="Arial Narrow" w:eastAsia="Arial Narrow" w:hAnsi="Arial Narrow" w:cs="Arial Narrow"/>
          <w:color w:val="000000"/>
          <w:sz w:val="24"/>
          <w:szCs w:val="24"/>
        </w:rPr>
        <w:t xml:space="preserve">ributario </w:t>
      </w:r>
      <w:r>
        <w:rPr>
          <w:rFonts w:ascii="Arial Narrow" w:eastAsia="Arial Narrow" w:hAnsi="Arial Narrow" w:cs="Arial Narrow"/>
          <w:sz w:val="24"/>
          <w:szCs w:val="24"/>
        </w:rPr>
        <w:t>Municipal</w:t>
      </w:r>
    </w:p>
    <w:p w:rsidR="00FF1F16" w:rsidRDefault="004A6500">
      <w:pPr>
        <w:rPr>
          <w:rFonts w:ascii="Arial Narrow" w:eastAsia="Arial Narrow" w:hAnsi="Arial Narrow" w:cs="Arial Narrow"/>
          <w:sz w:val="24"/>
          <w:szCs w:val="24"/>
        </w:rPr>
      </w:pPr>
      <w:r>
        <w:rPr>
          <w:rFonts w:ascii="Arial Narrow" w:eastAsia="Arial Narrow" w:hAnsi="Arial Narrow" w:cs="Arial Narrow"/>
          <w:b/>
          <w:bCs/>
          <w:sz w:val="24"/>
          <w:szCs w:val="24"/>
        </w:rPr>
        <w:t>Respo</w:t>
      </w:r>
      <w:r>
        <w:rPr>
          <w:rFonts w:ascii="Arial Narrow" w:eastAsia="Arial Narrow" w:hAnsi="Arial Narrow" w:cs="Arial Narrow"/>
          <w:b/>
          <w:bCs/>
          <w:sz w:val="24"/>
          <w:szCs w:val="24"/>
        </w:rPr>
        <w:t xml:space="preserve">nsable: </w:t>
      </w:r>
      <w:r>
        <w:rPr>
          <w:rFonts w:ascii="Arial Narrow" w:eastAsia="Arial Narrow" w:hAnsi="Arial Narrow" w:cs="Arial Narrow"/>
          <w:sz w:val="24"/>
          <w:szCs w:val="24"/>
        </w:rPr>
        <w:t>Secretaría de Hacienda</w:t>
      </w:r>
    </w:p>
    <w:p w:rsidR="00FF1F16" w:rsidRDefault="004A6500">
      <w:pPr>
        <w:rPr>
          <w:rFonts w:ascii="Arial Narrow" w:eastAsia="Arial Narrow" w:hAnsi="Arial Narrow" w:cs="Arial Narrow"/>
          <w:sz w:val="24"/>
          <w:szCs w:val="24"/>
        </w:rPr>
      </w:pPr>
      <w:r>
        <w:rPr>
          <w:rFonts w:ascii="Arial Narrow" w:eastAsia="Arial Narrow" w:hAnsi="Arial Narrow" w:cs="Arial Narrow"/>
          <w:b/>
          <w:bCs/>
          <w:sz w:val="24"/>
          <w:szCs w:val="24"/>
        </w:rPr>
        <w:t>Fecha inicial Límite:</w:t>
      </w:r>
      <w:r>
        <w:rPr>
          <w:rFonts w:ascii="Arial Narrow" w:eastAsia="Arial Narrow" w:hAnsi="Arial Narrow" w:cs="Arial Narrow"/>
          <w:sz w:val="24"/>
          <w:szCs w:val="24"/>
        </w:rPr>
        <w:t xml:space="preserve"> febrero de 2026</w:t>
      </w:r>
    </w:p>
    <w:p w:rsidR="00FF1F16" w:rsidRDefault="004A6500">
      <w:pPr>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Acciones adelantadas</w:t>
      </w:r>
    </w:p>
    <w:p w:rsidR="00FF1F16" w:rsidRDefault="00FF1F16">
      <w:pPr>
        <w:rPr>
          <w:rFonts w:ascii="Arial Narrow" w:eastAsia="Arial Narrow" w:hAnsi="Arial Narrow" w:cs="Arial Narrow"/>
          <w:b/>
          <w:bCs/>
          <w:sz w:val="24"/>
          <w:szCs w:val="24"/>
          <w:u w:val="single"/>
        </w:rPr>
      </w:pPr>
    </w:p>
    <w:p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 xml:space="preserve">Se realizó contratación de servicios </w:t>
      </w:r>
      <w:proofErr w:type="gramStart"/>
      <w:r>
        <w:rPr>
          <w:rFonts w:ascii="Arial Narrow" w:eastAsia="Arial Narrow" w:hAnsi="Arial Narrow" w:cs="Arial Narrow"/>
          <w:sz w:val="24"/>
          <w:szCs w:val="24"/>
        </w:rPr>
        <w:t>especializados  mediante</w:t>
      </w:r>
      <w:proofErr w:type="gramEnd"/>
      <w:r>
        <w:rPr>
          <w:rFonts w:ascii="Arial Narrow" w:eastAsia="Arial Narrow" w:hAnsi="Arial Narrow" w:cs="Arial Narrow"/>
          <w:sz w:val="24"/>
          <w:szCs w:val="24"/>
        </w:rPr>
        <w:t xml:space="preserve"> contrato número 20261800022627 del 30 de enero de 2026, el cual tiene como objeto “PRESTAR SERVICIOS PROFESIONALES ESPECIALIZADOS EN EL ASESORAMIENTO Y ACOMPAÑAMIENTO EN LA SECRETARÍA DE HACIEND</w:t>
      </w:r>
      <w:r>
        <w:rPr>
          <w:rFonts w:ascii="Arial Narrow" w:eastAsia="Arial Narrow" w:hAnsi="Arial Narrow" w:cs="Arial Narrow"/>
          <w:sz w:val="24"/>
          <w:szCs w:val="24"/>
        </w:rPr>
        <w:t>A MUNICIPAL PARA LA ACTUALIZACIÓN DEL ESTATUTO TRIBUTARIO DEL MUNICIPIO EN EL MARCO DEL PROYECTO DENOMINADO OPTIMIZACIÓN DE LA CAPACIDAD ADMINISTRATIVA Y OPERATIVA DE LA SECRETARÍA DE HACIENDA DE POPAYÁN”</w:t>
      </w:r>
    </w:p>
    <w:p w:rsidR="00FF1F16" w:rsidRDefault="00FF1F16">
      <w:pPr>
        <w:rPr>
          <w:rFonts w:ascii="Arial Narrow" w:eastAsia="Arial Narrow" w:hAnsi="Arial Narrow" w:cs="Arial Narrow"/>
          <w:sz w:val="24"/>
          <w:szCs w:val="24"/>
        </w:rPr>
      </w:pPr>
    </w:p>
    <w:p w:rsidR="00FF1F16" w:rsidRDefault="004A6500">
      <w:pPr>
        <w:spacing w:before="240" w:after="240"/>
        <w:jc w:val="both"/>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Resultados obtenidos:</w:t>
      </w:r>
    </w:p>
    <w:p w:rsidR="00FF1F16" w:rsidRDefault="004A6500">
      <w:pPr>
        <w:spacing w:before="240" w:after="240"/>
        <w:jc w:val="both"/>
        <w:rPr>
          <w:rFonts w:ascii="Arial Narrow" w:eastAsia="Arial Narrow" w:hAnsi="Arial Narrow" w:cs="Arial Narrow"/>
          <w:sz w:val="24"/>
          <w:szCs w:val="24"/>
        </w:rPr>
      </w:pPr>
      <w:r>
        <w:rPr>
          <w:rFonts w:ascii="Arial Narrow" w:eastAsia="Arial Narrow" w:hAnsi="Arial Narrow" w:cs="Arial Narrow"/>
          <w:sz w:val="24"/>
          <w:szCs w:val="24"/>
        </w:rPr>
        <w:t>Análisis integral del Acuerd</w:t>
      </w:r>
      <w:r>
        <w:rPr>
          <w:rFonts w:ascii="Arial Narrow" w:eastAsia="Arial Narrow" w:hAnsi="Arial Narrow" w:cs="Arial Narrow"/>
          <w:sz w:val="24"/>
          <w:szCs w:val="24"/>
        </w:rPr>
        <w:t xml:space="preserve">o 024 de </w:t>
      </w:r>
      <w:proofErr w:type="gramStart"/>
      <w:r>
        <w:rPr>
          <w:rFonts w:ascii="Arial Narrow" w:eastAsia="Arial Narrow" w:hAnsi="Arial Narrow" w:cs="Arial Narrow"/>
          <w:sz w:val="24"/>
          <w:szCs w:val="24"/>
        </w:rPr>
        <w:t>2021,  mediante</w:t>
      </w:r>
      <w:proofErr w:type="gramEnd"/>
      <w:r>
        <w:rPr>
          <w:rFonts w:ascii="Arial Narrow" w:eastAsia="Arial Narrow" w:hAnsi="Arial Narrow" w:cs="Arial Narrow"/>
          <w:sz w:val="24"/>
          <w:szCs w:val="24"/>
        </w:rPr>
        <w:t xml:space="preserve"> diferentes mesas técnicas entre las diferentes dependencias de la administración municipal a cargo del contratista vinculado para tal fin, con el propósito de presentar el proyecto de Acuerdo ante el Concejo Municipal en el mes de </w:t>
      </w:r>
      <w:r>
        <w:rPr>
          <w:rFonts w:ascii="Arial Narrow" w:eastAsia="Arial Narrow" w:hAnsi="Arial Narrow" w:cs="Arial Narrow"/>
          <w:sz w:val="24"/>
          <w:szCs w:val="24"/>
        </w:rPr>
        <w:t xml:space="preserve">julio de la presente anualidad para su respectiva aprobación. </w:t>
      </w:r>
    </w:p>
    <w:p w:rsidR="00FF1F16" w:rsidRDefault="004A6500">
      <w:pPr>
        <w:spacing w:before="240" w:after="240"/>
        <w:jc w:val="both"/>
        <w:rPr>
          <w:rFonts w:ascii="Arial Narrow" w:eastAsia="Arial Narrow" w:hAnsi="Arial Narrow" w:cs="Arial Narrow"/>
          <w:sz w:val="24"/>
          <w:szCs w:val="24"/>
        </w:rPr>
      </w:pPr>
      <w:r>
        <w:rPr>
          <w:rFonts w:ascii="Arial Narrow" w:eastAsia="Arial Narrow" w:hAnsi="Arial Narrow" w:cs="Arial Narrow"/>
          <w:b/>
          <w:bCs/>
          <w:sz w:val="24"/>
          <w:szCs w:val="24"/>
          <w:u w:val="single"/>
        </w:rPr>
        <w:t>Propuesta de reprogramación de fechas:</w:t>
      </w:r>
      <w:r>
        <w:rPr>
          <w:rFonts w:ascii="Arial Narrow" w:eastAsia="Arial Narrow" w:hAnsi="Arial Narrow" w:cs="Arial Narrow"/>
          <w:b/>
          <w:bCs/>
          <w:sz w:val="24"/>
          <w:szCs w:val="24"/>
        </w:rPr>
        <w:t xml:space="preserve"> </w:t>
      </w:r>
      <w:r>
        <w:rPr>
          <w:rFonts w:ascii="Arial Narrow" w:eastAsia="Arial Narrow" w:hAnsi="Arial Narrow" w:cs="Arial Narrow"/>
          <w:sz w:val="24"/>
          <w:szCs w:val="24"/>
        </w:rPr>
        <w:t xml:space="preserve">Presentación del proyecto de acuerdo mediante el cual se actualiza el Estatuto Tributario del Municipio de Popayán en el mes de </w:t>
      </w:r>
      <w:proofErr w:type="gramStart"/>
      <w:r>
        <w:rPr>
          <w:rFonts w:ascii="Arial Narrow" w:eastAsia="Arial Narrow" w:hAnsi="Arial Narrow" w:cs="Arial Narrow"/>
          <w:sz w:val="24"/>
          <w:szCs w:val="24"/>
        </w:rPr>
        <w:t>julio  de</w:t>
      </w:r>
      <w:proofErr w:type="gramEnd"/>
      <w:r>
        <w:rPr>
          <w:rFonts w:ascii="Arial Narrow" w:eastAsia="Arial Narrow" w:hAnsi="Arial Narrow" w:cs="Arial Narrow"/>
          <w:sz w:val="24"/>
          <w:szCs w:val="24"/>
        </w:rPr>
        <w:t xml:space="preserve"> 2026, ante el Concejo Municipal.</w:t>
      </w:r>
    </w:p>
    <w:p w:rsidR="00FF1F16" w:rsidRDefault="004A6500">
      <w:pPr>
        <w:spacing w:before="240" w:after="240"/>
        <w:jc w:val="both"/>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Plan de trabajo para cada compromiso, con cronograma y actores implicados.</w:t>
      </w:r>
    </w:p>
    <w:tbl>
      <w:tblPr>
        <w:tblStyle w:val="a0"/>
        <w:tblW w:w="9270" w:type="dxa"/>
        <w:jc w:val="cente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3540"/>
        <w:gridCol w:w="2640"/>
        <w:gridCol w:w="3090"/>
      </w:tblGrid>
      <w:tr w:rsidR="00FF1F16">
        <w:trPr>
          <w:jc w:val="center"/>
        </w:trPr>
        <w:tc>
          <w:tcPr>
            <w:tcW w:w="3540" w:type="dxa"/>
            <w:shd w:val="clear" w:color="auto" w:fill="D0CECE"/>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b/>
                <w:bCs/>
                <w:color w:val="000000"/>
              </w:rPr>
            </w:pPr>
            <w:r>
              <w:rPr>
                <w:rFonts w:ascii="Arial Narrow" w:eastAsia="Arial Narrow" w:hAnsi="Arial Narrow" w:cs="Arial Narrow"/>
                <w:b/>
                <w:bCs/>
                <w:color w:val="000000"/>
              </w:rPr>
              <w:t>Acción</w:t>
            </w:r>
          </w:p>
        </w:tc>
        <w:tc>
          <w:tcPr>
            <w:tcW w:w="2640" w:type="dxa"/>
            <w:shd w:val="clear" w:color="auto" w:fill="D0CECE"/>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b/>
                <w:bCs/>
                <w:color w:val="000000"/>
              </w:rPr>
            </w:pPr>
            <w:r>
              <w:rPr>
                <w:rFonts w:ascii="Arial Narrow" w:eastAsia="Arial Narrow" w:hAnsi="Arial Narrow" w:cs="Arial Narrow"/>
                <w:b/>
                <w:bCs/>
                <w:color w:val="000000"/>
              </w:rPr>
              <w:t>Res</w:t>
            </w:r>
            <w:r>
              <w:rPr>
                <w:rFonts w:ascii="Arial Narrow" w:eastAsia="Arial Narrow" w:hAnsi="Arial Narrow" w:cs="Arial Narrow"/>
                <w:b/>
                <w:bCs/>
                <w:color w:val="000000"/>
              </w:rPr>
              <w:t>ponsable</w:t>
            </w:r>
          </w:p>
        </w:tc>
        <w:tc>
          <w:tcPr>
            <w:tcW w:w="3090" w:type="dxa"/>
            <w:shd w:val="clear" w:color="auto" w:fill="D0CECE"/>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b/>
                <w:bCs/>
                <w:color w:val="000000"/>
              </w:rPr>
            </w:pPr>
            <w:r>
              <w:rPr>
                <w:rFonts w:ascii="Arial Narrow" w:eastAsia="Arial Narrow" w:hAnsi="Arial Narrow" w:cs="Arial Narrow"/>
                <w:b/>
                <w:bCs/>
                <w:color w:val="000000"/>
              </w:rPr>
              <w:t>Fecha</w:t>
            </w:r>
          </w:p>
        </w:tc>
      </w:tr>
      <w:tr w:rsidR="00FF1F16">
        <w:trPr>
          <w:jc w:val="center"/>
        </w:trPr>
        <w:tc>
          <w:tcPr>
            <w:tcW w:w="3540" w:type="dxa"/>
            <w:vAlign w:val="center"/>
          </w:tcPr>
          <w:p w:rsidR="00FF1F16" w:rsidRDefault="004A6500">
            <w:pPr>
              <w:pBdr>
                <w:top w:val="nil"/>
                <w:left w:val="nil"/>
                <w:bottom w:val="nil"/>
                <w:right w:val="nil"/>
                <w:between w:val="nil"/>
              </w:pBdr>
              <w:spacing w:after="200"/>
              <w:rPr>
                <w:rFonts w:ascii="Arial Narrow" w:eastAsia="Arial Narrow" w:hAnsi="Arial Narrow" w:cs="Arial Narrow"/>
                <w:color w:val="000000"/>
              </w:rPr>
            </w:pPr>
            <w:r>
              <w:rPr>
                <w:rFonts w:ascii="Arial Narrow" w:eastAsia="Arial Narrow" w:hAnsi="Arial Narrow" w:cs="Arial Narrow"/>
              </w:rPr>
              <w:t xml:space="preserve">Suscripción de contrato </w:t>
            </w:r>
          </w:p>
        </w:tc>
        <w:tc>
          <w:tcPr>
            <w:tcW w:w="2640" w:type="dxa"/>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Secretaria de Hacienda</w:t>
            </w:r>
          </w:p>
        </w:tc>
        <w:tc>
          <w:tcPr>
            <w:tcW w:w="3090" w:type="dxa"/>
          </w:tcPr>
          <w:p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proofErr w:type="gramStart"/>
            <w:r>
              <w:rPr>
                <w:rFonts w:ascii="Arial Narrow" w:eastAsia="Arial Narrow" w:hAnsi="Arial Narrow" w:cs="Arial Narrow"/>
              </w:rPr>
              <w:t xml:space="preserve">30 </w:t>
            </w:r>
            <w:r>
              <w:rPr>
                <w:rFonts w:ascii="Arial Narrow" w:eastAsia="Arial Narrow" w:hAnsi="Arial Narrow" w:cs="Arial Narrow"/>
                <w:color w:val="000000"/>
              </w:rPr>
              <w:t xml:space="preserve"> de</w:t>
            </w:r>
            <w:proofErr w:type="gramEnd"/>
            <w:r>
              <w:rPr>
                <w:rFonts w:ascii="Arial Narrow" w:eastAsia="Arial Narrow" w:hAnsi="Arial Narrow" w:cs="Arial Narrow"/>
                <w:color w:val="000000"/>
              </w:rPr>
              <w:t xml:space="preserve"> </w:t>
            </w:r>
            <w:r>
              <w:rPr>
                <w:rFonts w:ascii="Arial Narrow" w:eastAsia="Arial Narrow" w:hAnsi="Arial Narrow" w:cs="Arial Narrow"/>
              </w:rPr>
              <w:t xml:space="preserve">enero </w:t>
            </w:r>
            <w:r>
              <w:rPr>
                <w:rFonts w:ascii="Arial Narrow" w:eastAsia="Arial Narrow" w:hAnsi="Arial Narrow" w:cs="Arial Narrow"/>
                <w:color w:val="000000"/>
              </w:rPr>
              <w:t xml:space="preserve"> de 2026</w:t>
            </w:r>
          </w:p>
        </w:tc>
      </w:tr>
      <w:tr w:rsidR="00FF1F16">
        <w:trPr>
          <w:jc w:val="center"/>
        </w:trPr>
        <w:tc>
          <w:tcPr>
            <w:tcW w:w="3540" w:type="dxa"/>
            <w:vAlign w:val="center"/>
          </w:tcPr>
          <w:p w:rsidR="00FF1F16" w:rsidRDefault="004A6500">
            <w:pPr>
              <w:pBdr>
                <w:top w:val="nil"/>
                <w:left w:val="nil"/>
                <w:bottom w:val="nil"/>
                <w:right w:val="nil"/>
                <w:between w:val="nil"/>
              </w:pBdr>
              <w:spacing w:after="200"/>
              <w:rPr>
                <w:rFonts w:ascii="Arial Narrow" w:eastAsia="Arial Narrow" w:hAnsi="Arial Narrow" w:cs="Arial Narrow"/>
              </w:rPr>
            </w:pPr>
            <w:r>
              <w:rPr>
                <w:rFonts w:ascii="Arial Narrow" w:eastAsia="Arial Narrow" w:hAnsi="Arial Narrow" w:cs="Arial Narrow"/>
              </w:rPr>
              <w:t>Recopilación y análisis de vigencia de la normatividad tributaria local</w:t>
            </w:r>
          </w:p>
        </w:tc>
        <w:tc>
          <w:tcPr>
            <w:tcW w:w="2640" w:type="dxa"/>
            <w:vAlign w:val="center"/>
          </w:tcPr>
          <w:p w:rsidR="00FF1F16" w:rsidRDefault="004A6500">
            <w:pPr>
              <w:spacing w:after="200"/>
              <w:jc w:val="center"/>
              <w:rPr>
                <w:rFonts w:ascii="Arial Narrow" w:eastAsia="Arial Narrow" w:hAnsi="Arial Narrow" w:cs="Arial Narrow"/>
                <w:color w:val="000000"/>
              </w:rPr>
            </w:pPr>
            <w:r>
              <w:rPr>
                <w:rFonts w:ascii="Arial Narrow" w:eastAsia="Arial Narrow" w:hAnsi="Arial Narrow" w:cs="Arial Narrow"/>
              </w:rPr>
              <w:t>Secretaria de Hacienda</w:t>
            </w:r>
          </w:p>
        </w:tc>
        <w:tc>
          <w:tcPr>
            <w:tcW w:w="3090" w:type="dxa"/>
          </w:tcPr>
          <w:p w:rsidR="00FF1F16" w:rsidRDefault="004A6500">
            <w:pPr>
              <w:pBdr>
                <w:top w:val="nil"/>
                <w:left w:val="nil"/>
                <w:bottom w:val="nil"/>
                <w:right w:val="nil"/>
                <w:between w:val="nil"/>
              </w:pBdr>
              <w:spacing w:after="200"/>
              <w:jc w:val="center"/>
              <w:rPr>
                <w:rFonts w:ascii="Arial Narrow" w:eastAsia="Arial Narrow" w:hAnsi="Arial Narrow" w:cs="Arial Narrow"/>
              </w:rPr>
            </w:pPr>
            <w:r>
              <w:rPr>
                <w:rFonts w:ascii="Arial Narrow" w:eastAsia="Arial Narrow" w:hAnsi="Arial Narrow" w:cs="Arial Narrow"/>
              </w:rPr>
              <w:t>Febrero de 2026</w:t>
            </w:r>
          </w:p>
        </w:tc>
      </w:tr>
      <w:tr w:rsidR="00FF1F16">
        <w:trPr>
          <w:jc w:val="center"/>
        </w:trPr>
        <w:tc>
          <w:tcPr>
            <w:tcW w:w="3540" w:type="dxa"/>
            <w:vAlign w:val="center"/>
          </w:tcPr>
          <w:p w:rsidR="00FF1F16" w:rsidRDefault="004A6500">
            <w:pPr>
              <w:pBdr>
                <w:top w:val="nil"/>
                <w:left w:val="nil"/>
                <w:bottom w:val="nil"/>
                <w:right w:val="nil"/>
                <w:between w:val="nil"/>
              </w:pBdr>
              <w:spacing w:after="200"/>
              <w:rPr>
                <w:rFonts w:ascii="Arial Narrow" w:eastAsia="Arial Narrow" w:hAnsi="Arial Narrow" w:cs="Arial Narrow"/>
              </w:rPr>
            </w:pPr>
            <w:r>
              <w:rPr>
                <w:rFonts w:ascii="Arial Narrow" w:eastAsia="Arial Narrow" w:hAnsi="Arial Narrow" w:cs="Arial Narrow"/>
              </w:rPr>
              <w:t xml:space="preserve">Mesas técnicas con secretarías de Tránsito y Planeación, con el fin de </w:t>
            </w:r>
            <w:r>
              <w:rPr>
                <w:rFonts w:ascii="Arial Narrow" w:eastAsia="Arial Narrow" w:hAnsi="Arial Narrow" w:cs="Arial Narrow"/>
              </w:rPr>
              <w:lastRenderedPageBreak/>
              <w:t>identificar nuevas rentas relacionadas con el aprovechamiento del espacio público y uso del suelo.</w:t>
            </w:r>
          </w:p>
        </w:tc>
        <w:tc>
          <w:tcPr>
            <w:tcW w:w="2640" w:type="dxa"/>
            <w:vAlign w:val="center"/>
          </w:tcPr>
          <w:p w:rsidR="00FF1F16" w:rsidRDefault="004A6500">
            <w:pPr>
              <w:spacing w:after="200"/>
              <w:jc w:val="center"/>
              <w:rPr>
                <w:rFonts w:ascii="Arial Narrow" w:eastAsia="Arial Narrow" w:hAnsi="Arial Narrow" w:cs="Arial Narrow"/>
              </w:rPr>
            </w:pPr>
            <w:r>
              <w:rPr>
                <w:rFonts w:ascii="Arial Narrow" w:eastAsia="Arial Narrow" w:hAnsi="Arial Narrow" w:cs="Arial Narrow"/>
              </w:rPr>
              <w:lastRenderedPageBreak/>
              <w:t>Secretaria de Hacienda</w:t>
            </w:r>
          </w:p>
        </w:tc>
        <w:tc>
          <w:tcPr>
            <w:tcW w:w="3090" w:type="dxa"/>
          </w:tcPr>
          <w:p w:rsidR="00FF1F16" w:rsidRDefault="00FF1F16">
            <w:pPr>
              <w:pBdr>
                <w:top w:val="nil"/>
                <w:left w:val="nil"/>
                <w:bottom w:val="nil"/>
                <w:right w:val="nil"/>
                <w:between w:val="nil"/>
              </w:pBdr>
              <w:spacing w:after="200"/>
              <w:jc w:val="center"/>
              <w:rPr>
                <w:rFonts w:ascii="Arial Narrow" w:eastAsia="Arial Narrow" w:hAnsi="Arial Narrow" w:cs="Arial Narrow"/>
              </w:rPr>
            </w:pPr>
          </w:p>
          <w:p w:rsidR="00FF1F16" w:rsidRDefault="004A6500">
            <w:pPr>
              <w:pBdr>
                <w:top w:val="nil"/>
                <w:left w:val="nil"/>
                <w:bottom w:val="nil"/>
                <w:right w:val="nil"/>
                <w:between w:val="nil"/>
              </w:pBdr>
              <w:spacing w:after="200"/>
              <w:jc w:val="center"/>
              <w:rPr>
                <w:rFonts w:ascii="Arial Narrow" w:eastAsia="Arial Narrow" w:hAnsi="Arial Narrow" w:cs="Arial Narrow"/>
              </w:rPr>
            </w:pPr>
            <w:r>
              <w:rPr>
                <w:rFonts w:ascii="Arial Narrow" w:eastAsia="Arial Narrow" w:hAnsi="Arial Narrow" w:cs="Arial Narrow"/>
              </w:rPr>
              <w:lastRenderedPageBreak/>
              <w:t xml:space="preserve">Marzo - </w:t>
            </w:r>
            <w:proofErr w:type="gramStart"/>
            <w:r>
              <w:rPr>
                <w:rFonts w:ascii="Arial Narrow" w:eastAsia="Arial Narrow" w:hAnsi="Arial Narrow" w:cs="Arial Narrow"/>
              </w:rPr>
              <w:t>Abril</w:t>
            </w:r>
            <w:proofErr w:type="gramEnd"/>
            <w:r>
              <w:rPr>
                <w:rFonts w:ascii="Arial Narrow" w:eastAsia="Arial Narrow" w:hAnsi="Arial Narrow" w:cs="Arial Narrow"/>
              </w:rPr>
              <w:t xml:space="preserve"> de 2026</w:t>
            </w:r>
          </w:p>
        </w:tc>
      </w:tr>
      <w:tr w:rsidR="00FF1F16">
        <w:trPr>
          <w:jc w:val="center"/>
        </w:trPr>
        <w:tc>
          <w:tcPr>
            <w:tcW w:w="3540" w:type="dxa"/>
            <w:vAlign w:val="center"/>
          </w:tcPr>
          <w:p w:rsidR="00FF1F16" w:rsidRDefault="004A6500">
            <w:pPr>
              <w:pBdr>
                <w:top w:val="nil"/>
                <w:left w:val="nil"/>
                <w:bottom w:val="nil"/>
                <w:right w:val="nil"/>
                <w:between w:val="nil"/>
              </w:pBdr>
              <w:spacing w:after="200"/>
              <w:rPr>
                <w:rFonts w:ascii="Arial Narrow" w:eastAsia="Arial Narrow" w:hAnsi="Arial Narrow" w:cs="Arial Narrow"/>
              </w:rPr>
            </w:pPr>
            <w:r>
              <w:rPr>
                <w:rFonts w:ascii="Arial Narrow" w:eastAsia="Arial Narrow" w:hAnsi="Arial Narrow" w:cs="Arial Narrow"/>
              </w:rPr>
              <w:lastRenderedPageBreak/>
              <w:t>Propuesta de depuración por contradicciones, inconveniencias o actualización normativa.</w:t>
            </w:r>
          </w:p>
          <w:p w:rsidR="00FF1F16" w:rsidRDefault="004A6500">
            <w:pPr>
              <w:pBdr>
                <w:top w:val="nil"/>
                <w:left w:val="nil"/>
                <w:bottom w:val="nil"/>
                <w:right w:val="nil"/>
                <w:between w:val="nil"/>
              </w:pBdr>
              <w:spacing w:after="200"/>
              <w:rPr>
                <w:rFonts w:ascii="Arial Narrow" w:eastAsia="Arial Narrow" w:hAnsi="Arial Narrow" w:cs="Arial Narrow"/>
              </w:rPr>
            </w:pPr>
            <w:r>
              <w:rPr>
                <w:rFonts w:ascii="Arial Narrow" w:eastAsia="Arial Narrow" w:hAnsi="Arial Narrow" w:cs="Arial Narrow"/>
              </w:rPr>
              <w:t>Envío de borrador de proyecto de acuerdo para retroalimentación y ajustes.</w:t>
            </w:r>
          </w:p>
        </w:tc>
        <w:tc>
          <w:tcPr>
            <w:tcW w:w="2640" w:type="dxa"/>
            <w:vAlign w:val="center"/>
          </w:tcPr>
          <w:p w:rsidR="00FF1F16" w:rsidRDefault="004A6500">
            <w:pPr>
              <w:spacing w:after="200"/>
              <w:jc w:val="center"/>
              <w:rPr>
                <w:rFonts w:ascii="Arial Narrow" w:eastAsia="Arial Narrow" w:hAnsi="Arial Narrow" w:cs="Arial Narrow"/>
              </w:rPr>
            </w:pPr>
            <w:r>
              <w:rPr>
                <w:rFonts w:ascii="Arial Narrow" w:eastAsia="Arial Narrow" w:hAnsi="Arial Narrow" w:cs="Arial Narrow"/>
              </w:rPr>
              <w:t>Secretaria de Hacienda</w:t>
            </w:r>
          </w:p>
        </w:tc>
        <w:tc>
          <w:tcPr>
            <w:tcW w:w="3090" w:type="dxa"/>
          </w:tcPr>
          <w:p w:rsidR="00FF1F16" w:rsidRDefault="00FF1F16">
            <w:pPr>
              <w:pBdr>
                <w:top w:val="nil"/>
                <w:left w:val="nil"/>
                <w:bottom w:val="nil"/>
                <w:right w:val="nil"/>
                <w:between w:val="nil"/>
              </w:pBdr>
              <w:spacing w:after="200"/>
              <w:jc w:val="center"/>
              <w:rPr>
                <w:rFonts w:ascii="Arial Narrow" w:eastAsia="Arial Narrow" w:hAnsi="Arial Narrow" w:cs="Arial Narrow"/>
              </w:rPr>
            </w:pPr>
          </w:p>
          <w:p w:rsidR="00FF1F16" w:rsidRDefault="004A6500">
            <w:pPr>
              <w:pBdr>
                <w:top w:val="nil"/>
                <w:left w:val="nil"/>
                <w:bottom w:val="nil"/>
                <w:right w:val="nil"/>
                <w:between w:val="nil"/>
              </w:pBdr>
              <w:spacing w:after="200"/>
              <w:jc w:val="center"/>
              <w:rPr>
                <w:rFonts w:ascii="Arial Narrow" w:eastAsia="Arial Narrow" w:hAnsi="Arial Narrow" w:cs="Arial Narrow"/>
              </w:rPr>
            </w:pPr>
            <w:r>
              <w:rPr>
                <w:rFonts w:ascii="Arial Narrow" w:eastAsia="Arial Narrow" w:hAnsi="Arial Narrow" w:cs="Arial Narrow"/>
              </w:rPr>
              <w:t xml:space="preserve">Mayo - </w:t>
            </w:r>
            <w:proofErr w:type="gramStart"/>
            <w:r>
              <w:rPr>
                <w:rFonts w:ascii="Arial Narrow" w:eastAsia="Arial Narrow" w:hAnsi="Arial Narrow" w:cs="Arial Narrow"/>
              </w:rPr>
              <w:t>Junio</w:t>
            </w:r>
            <w:proofErr w:type="gramEnd"/>
            <w:r>
              <w:rPr>
                <w:rFonts w:ascii="Arial Narrow" w:eastAsia="Arial Narrow" w:hAnsi="Arial Narrow" w:cs="Arial Narrow"/>
              </w:rPr>
              <w:t xml:space="preserve"> de 2026</w:t>
            </w:r>
          </w:p>
        </w:tc>
      </w:tr>
      <w:tr w:rsidR="00FF1F16">
        <w:trPr>
          <w:jc w:val="center"/>
        </w:trPr>
        <w:tc>
          <w:tcPr>
            <w:tcW w:w="3540" w:type="dxa"/>
            <w:vAlign w:val="center"/>
          </w:tcPr>
          <w:p w:rsidR="00FF1F16" w:rsidRDefault="004A6500">
            <w:pPr>
              <w:pBdr>
                <w:top w:val="nil"/>
                <w:left w:val="nil"/>
                <w:bottom w:val="nil"/>
                <w:right w:val="nil"/>
                <w:between w:val="nil"/>
              </w:pBdr>
              <w:spacing w:after="200"/>
              <w:jc w:val="both"/>
              <w:rPr>
                <w:rFonts w:ascii="Arial Narrow" w:eastAsia="Arial Narrow" w:hAnsi="Arial Narrow" w:cs="Arial Narrow"/>
                <w:color w:val="000000"/>
              </w:rPr>
            </w:pPr>
            <w:r>
              <w:rPr>
                <w:rFonts w:ascii="Arial Narrow" w:eastAsia="Arial Narrow" w:hAnsi="Arial Narrow" w:cs="Arial Narrow"/>
              </w:rPr>
              <w:t>P</w:t>
            </w:r>
            <w:r>
              <w:rPr>
                <w:rFonts w:ascii="Arial Narrow" w:eastAsia="Arial Narrow" w:hAnsi="Arial Narrow" w:cs="Arial Narrow"/>
                <w:color w:val="000000"/>
              </w:rPr>
              <w:t>resentaci</w:t>
            </w:r>
            <w:r>
              <w:rPr>
                <w:rFonts w:ascii="Arial Narrow" w:eastAsia="Arial Narrow" w:hAnsi="Arial Narrow" w:cs="Arial Narrow"/>
              </w:rPr>
              <w:t>ón del proyecto de acuerdo mediante el cual se actualiza el Estatuto Tributario del Municipio de Popayán</w:t>
            </w:r>
          </w:p>
        </w:tc>
        <w:tc>
          <w:tcPr>
            <w:tcW w:w="2640" w:type="dxa"/>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Secretaria de Hacienda</w:t>
            </w:r>
          </w:p>
        </w:tc>
        <w:tc>
          <w:tcPr>
            <w:tcW w:w="3090" w:type="dxa"/>
          </w:tcPr>
          <w:p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proofErr w:type="gramStart"/>
            <w:r>
              <w:rPr>
                <w:rFonts w:ascii="Arial Narrow" w:eastAsia="Arial Narrow" w:hAnsi="Arial Narrow" w:cs="Arial Narrow"/>
              </w:rPr>
              <w:t xml:space="preserve">31 </w:t>
            </w:r>
            <w:r>
              <w:rPr>
                <w:rFonts w:ascii="Arial Narrow" w:eastAsia="Arial Narrow" w:hAnsi="Arial Narrow" w:cs="Arial Narrow"/>
                <w:color w:val="000000"/>
              </w:rPr>
              <w:t xml:space="preserve"> de</w:t>
            </w:r>
            <w:proofErr w:type="gramEnd"/>
            <w:r>
              <w:rPr>
                <w:rFonts w:ascii="Arial Narrow" w:eastAsia="Arial Narrow" w:hAnsi="Arial Narrow" w:cs="Arial Narrow"/>
                <w:color w:val="000000"/>
              </w:rPr>
              <w:t xml:space="preserve"> </w:t>
            </w:r>
            <w:r>
              <w:rPr>
                <w:rFonts w:ascii="Arial Narrow" w:eastAsia="Arial Narrow" w:hAnsi="Arial Narrow" w:cs="Arial Narrow"/>
              </w:rPr>
              <w:t xml:space="preserve">julio </w:t>
            </w:r>
            <w:r>
              <w:rPr>
                <w:rFonts w:ascii="Arial Narrow" w:eastAsia="Arial Narrow" w:hAnsi="Arial Narrow" w:cs="Arial Narrow"/>
                <w:color w:val="000000"/>
              </w:rPr>
              <w:t xml:space="preserve"> de 2026</w:t>
            </w:r>
          </w:p>
        </w:tc>
      </w:tr>
    </w:tbl>
    <w:p w:rsidR="00FF1F16" w:rsidRDefault="00FF1F16">
      <w:pPr>
        <w:rPr>
          <w:rFonts w:ascii="Arial Narrow" w:eastAsia="Arial Narrow" w:hAnsi="Arial Narrow" w:cs="Arial Narrow"/>
          <w:sz w:val="24"/>
          <w:szCs w:val="24"/>
        </w:rPr>
      </w:pPr>
    </w:p>
    <w:p w:rsidR="00FF1F16" w:rsidRDefault="004A6500">
      <w:pPr>
        <w:spacing w:before="240" w:after="240"/>
        <w:jc w:val="both"/>
        <w:rPr>
          <w:rFonts w:ascii="Arial Narrow" w:eastAsia="Arial Narrow" w:hAnsi="Arial Narrow" w:cs="Arial Narrow"/>
          <w:sz w:val="24"/>
          <w:szCs w:val="24"/>
        </w:rPr>
      </w:pPr>
      <w:r>
        <w:rPr>
          <w:rFonts w:ascii="Arial Narrow" w:eastAsia="Arial Narrow" w:hAnsi="Arial Narrow" w:cs="Arial Narrow"/>
          <w:b/>
          <w:bCs/>
          <w:sz w:val="24"/>
          <w:szCs w:val="24"/>
        </w:rPr>
        <w:t xml:space="preserve">Nueva fecha para cumplimiento: </w:t>
      </w:r>
      <w:r>
        <w:rPr>
          <w:rFonts w:ascii="Arial Narrow" w:eastAsia="Arial Narrow" w:hAnsi="Arial Narrow" w:cs="Arial Narrow"/>
          <w:sz w:val="24"/>
          <w:szCs w:val="24"/>
        </w:rPr>
        <w:t xml:space="preserve"> julio de 2026.</w:t>
      </w:r>
    </w:p>
    <w:p w:rsidR="00FF1F16" w:rsidRDefault="00FF1F16">
      <w:pPr>
        <w:spacing w:line="240" w:lineRule="auto"/>
        <w:ind w:left="720"/>
        <w:jc w:val="both"/>
        <w:rPr>
          <w:rFonts w:ascii="Arial Narrow" w:eastAsia="Arial Narrow" w:hAnsi="Arial Narrow" w:cs="Arial Narrow"/>
          <w:b/>
          <w:bCs/>
          <w:sz w:val="24"/>
          <w:szCs w:val="24"/>
        </w:rPr>
      </w:pPr>
    </w:p>
    <w:p w:rsidR="00FF1F16" w:rsidRDefault="004A6500">
      <w:pPr>
        <w:jc w:val="both"/>
        <w:rPr>
          <w:rFonts w:ascii="Arial Narrow" w:eastAsia="Arial Narrow" w:hAnsi="Arial Narrow" w:cs="Arial Narrow"/>
          <w:b/>
          <w:bCs/>
          <w:sz w:val="24"/>
          <w:szCs w:val="24"/>
        </w:rPr>
      </w:pPr>
      <w:r>
        <w:rPr>
          <w:rFonts w:ascii="Arial Narrow" w:eastAsia="Arial Narrow" w:hAnsi="Arial Narrow" w:cs="Arial Narrow"/>
          <w:b/>
          <w:bCs/>
          <w:color w:val="000000"/>
          <w:sz w:val="24"/>
          <w:szCs w:val="24"/>
        </w:rPr>
        <w:t>Compromiso 2. Presentar el FET (fondeado en un 60% con oportunidad de seguir siendo alimentado progresivamente) ante el Concejo con el respaldo y apoyo técnico, financiero e institucional de Mintransporte.</w:t>
      </w:r>
    </w:p>
    <w:p w:rsidR="00FF1F16" w:rsidRDefault="004A6500">
      <w:pPr>
        <w:rPr>
          <w:rFonts w:ascii="Arial Narrow" w:eastAsia="Arial Narrow" w:hAnsi="Arial Narrow" w:cs="Arial Narrow"/>
          <w:sz w:val="24"/>
          <w:szCs w:val="24"/>
        </w:rPr>
      </w:pPr>
      <w:r>
        <w:rPr>
          <w:rFonts w:ascii="Arial Narrow" w:eastAsia="Arial Narrow" w:hAnsi="Arial Narrow" w:cs="Arial Narrow"/>
          <w:b/>
          <w:bCs/>
          <w:sz w:val="24"/>
          <w:szCs w:val="24"/>
        </w:rPr>
        <w:t xml:space="preserve">Responsable: </w:t>
      </w:r>
      <w:r>
        <w:rPr>
          <w:rFonts w:ascii="Arial Narrow" w:eastAsia="Arial Narrow" w:hAnsi="Arial Narrow" w:cs="Arial Narrow"/>
          <w:sz w:val="24"/>
          <w:szCs w:val="24"/>
        </w:rPr>
        <w:t>Secretaría de Hacienda y Ente Gestor</w:t>
      </w:r>
    </w:p>
    <w:p w:rsidR="00FF1F16" w:rsidRDefault="004A6500">
      <w:pPr>
        <w:rPr>
          <w:rFonts w:ascii="Arial Narrow" w:eastAsia="Arial Narrow" w:hAnsi="Arial Narrow" w:cs="Arial Narrow"/>
          <w:sz w:val="24"/>
          <w:szCs w:val="24"/>
        </w:rPr>
      </w:pPr>
      <w:r>
        <w:rPr>
          <w:rFonts w:ascii="Arial Narrow" w:eastAsia="Arial Narrow" w:hAnsi="Arial Narrow" w:cs="Arial Narrow"/>
          <w:b/>
          <w:bCs/>
          <w:sz w:val="24"/>
          <w:szCs w:val="24"/>
        </w:rPr>
        <w:t>Fecha inicial Límite:</w:t>
      </w:r>
      <w:r>
        <w:rPr>
          <w:rFonts w:ascii="Arial Narrow" w:eastAsia="Arial Narrow" w:hAnsi="Arial Narrow" w:cs="Arial Narrow"/>
          <w:sz w:val="24"/>
          <w:szCs w:val="24"/>
        </w:rPr>
        <w:t xml:space="preserve"> noviembre de 2026</w:t>
      </w:r>
    </w:p>
    <w:p w:rsidR="00FF1F16" w:rsidRDefault="00FF1F16">
      <w:pPr>
        <w:spacing w:line="240" w:lineRule="auto"/>
        <w:jc w:val="both"/>
        <w:rPr>
          <w:rFonts w:ascii="Arial Narrow" w:eastAsia="Arial Narrow" w:hAnsi="Arial Narrow" w:cs="Arial Narrow"/>
        </w:rPr>
      </w:pPr>
    </w:p>
    <w:p w:rsidR="00FF1F16" w:rsidRDefault="004A6500">
      <w:pPr>
        <w:spacing w:line="240" w:lineRule="auto"/>
        <w:ind w:left="-141"/>
        <w:rPr>
          <w:rFonts w:ascii="Arial Narrow" w:eastAsia="Arial Narrow" w:hAnsi="Arial Narrow" w:cs="Arial Narrow"/>
          <w:sz w:val="24"/>
          <w:szCs w:val="24"/>
          <w:u w:val="single"/>
        </w:rPr>
      </w:pPr>
      <w:r>
        <w:rPr>
          <w:rFonts w:ascii="Arial Narrow" w:eastAsia="Arial Narrow" w:hAnsi="Arial Narrow" w:cs="Arial Narrow"/>
          <w:b/>
          <w:bCs/>
          <w:sz w:val="24"/>
          <w:szCs w:val="24"/>
          <w:u w:val="single"/>
        </w:rPr>
        <w:t>Acciones adelantadas</w:t>
      </w:r>
    </w:p>
    <w:p w:rsidR="00FF1F16" w:rsidRDefault="00FF1F16">
      <w:pPr>
        <w:pBdr>
          <w:top w:val="nil"/>
          <w:left w:val="nil"/>
          <w:bottom w:val="nil"/>
          <w:right w:val="nil"/>
          <w:between w:val="nil"/>
        </w:pBdr>
        <w:spacing w:line="240" w:lineRule="auto"/>
        <w:jc w:val="both"/>
        <w:rPr>
          <w:rFonts w:ascii="Arial Narrow" w:eastAsia="Arial Narrow" w:hAnsi="Arial Narrow" w:cs="Arial Narrow"/>
          <w:color w:val="000000"/>
          <w:sz w:val="24"/>
          <w:szCs w:val="24"/>
        </w:rPr>
      </w:pPr>
    </w:p>
    <w:p w:rsidR="00FF1F16" w:rsidRDefault="004A6500">
      <w:pPr>
        <w:pBdr>
          <w:top w:val="nil"/>
          <w:left w:val="nil"/>
          <w:bottom w:val="nil"/>
          <w:right w:val="nil"/>
          <w:between w:val="nil"/>
        </w:pBdr>
        <w:spacing w:line="240" w:lineRule="auto"/>
        <w:jc w:val="both"/>
        <w:rPr>
          <w:rFonts w:ascii="Arial Narrow" w:eastAsia="Arial Narrow" w:hAnsi="Arial Narrow" w:cs="Arial Narrow"/>
          <w:sz w:val="24"/>
          <w:szCs w:val="24"/>
        </w:rPr>
      </w:pPr>
      <w:r>
        <w:rPr>
          <w:rFonts w:ascii="Arial Narrow" w:eastAsia="Arial Narrow" w:hAnsi="Arial Narrow" w:cs="Arial Narrow"/>
          <w:b/>
          <w:bCs/>
          <w:sz w:val="24"/>
          <w:szCs w:val="24"/>
        </w:rPr>
        <w:t>Articulación interinstitucional:</w:t>
      </w:r>
      <w:r>
        <w:rPr>
          <w:rFonts w:ascii="Arial Narrow" w:eastAsia="Arial Narrow" w:hAnsi="Arial Narrow" w:cs="Arial Narrow"/>
          <w:sz w:val="24"/>
          <w:szCs w:val="24"/>
        </w:rPr>
        <w:t xml:space="preserve"> El trabajo realizado por el municipio para la sostenibilidad del sistema se ha logrado con el fortalecimiento institucional que permitió que durante las vigenci</w:t>
      </w:r>
      <w:r>
        <w:rPr>
          <w:rFonts w:ascii="Arial Narrow" w:eastAsia="Arial Narrow" w:hAnsi="Arial Narrow" w:cs="Arial Narrow"/>
          <w:sz w:val="24"/>
          <w:szCs w:val="24"/>
        </w:rPr>
        <w:t xml:space="preserve">as 2024-2025 y lo corrido del 2026 se adelanten las gestiones internas para la consecución de una fuente cierta; es decir, fuente multas de tránsito </w:t>
      </w:r>
      <w:r>
        <w:rPr>
          <w:rFonts w:ascii="Arial Narrow" w:eastAsia="Arial Narrow" w:hAnsi="Arial Narrow" w:cs="Arial Narrow"/>
          <w:b/>
          <w:bCs/>
          <w:sz w:val="24"/>
          <w:szCs w:val="24"/>
        </w:rPr>
        <w:t>(25% para el 2026 y 30% a partir del año 2027</w:t>
      </w:r>
      <w:r>
        <w:rPr>
          <w:rFonts w:ascii="Arial Narrow" w:eastAsia="Arial Narrow" w:hAnsi="Arial Narrow" w:cs="Arial Narrow"/>
          <w:sz w:val="24"/>
          <w:szCs w:val="24"/>
        </w:rPr>
        <w:t>), la realización de mesas de trabajo articuladas con la Secre</w:t>
      </w:r>
      <w:r>
        <w:rPr>
          <w:rFonts w:ascii="Arial Narrow" w:eastAsia="Arial Narrow" w:hAnsi="Arial Narrow" w:cs="Arial Narrow"/>
          <w:sz w:val="24"/>
          <w:szCs w:val="24"/>
        </w:rPr>
        <w:t>taría de Hacienda y de Tránsito del municipio para poder realizar el trámite con la radicación y presentación del  Proyecto de Acuerdo “</w:t>
      </w:r>
      <w:r>
        <w:rPr>
          <w:rFonts w:ascii="Arial Narrow" w:eastAsia="Arial Narrow" w:hAnsi="Arial Narrow" w:cs="Arial Narrow"/>
          <w:i/>
          <w:iCs/>
          <w:sz w:val="24"/>
          <w:szCs w:val="24"/>
        </w:rPr>
        <w:t>POR MEDIO DEL CUAL SE CREA EL FONDO DE ESTABILIZACIÓN TARIFARIA Y SUBVENCIÓN AL SISTEMA Y A LA SOSTENIBILIDAD DEL SISTEM</w:t>
      </w:r>
      <w:r>
        <w:rPr>
          <w:rFonts w:ascii="Arial Narrow" w:eastAsia="Arial Narrow" w:hAnsi="Arial Narrow" w:cs="Arial Narrow"/>
          <w:i/>
          <w:iCs/>
          <w:sz w:val="24"/>
          <w:szCs w:val="24"/>
        </w:rPr>
        <w:t>A ESTRATÉGICO DE TRANSPORTE PÚBLICO DE POPAYÁN Y SE FACULTA AL ALCALDE MUNICIPAL DE POPAYÁN PARA REGLAMENTARLO</w:t>
      </w:r>
      <w:r>
        <w:rPr>
          <w:rFonts w:ascii="Arial Narrow" w:eastAsia="Arial Narrow" w:hAnsi="Arial Narrow" w:cs="Arial Narrow"/>
          <w:sz w:val="24"/>
          <w:szCs w:val="24"/>
        </w:rPr>
        <w:t>” con sus soportes,  a las comisiones del Concejo Municipal de Popayán.</w:t>
      </w:r>
    </w:p>
    <w:p w:rsidR="00FF1F16" w:rsidRDefault="00FF1F16">
      <w:pPr>
        <w:pBdr>
          <w:top w:val="nil"/>
          <w:left w:val="nil"/>
          <w:bottom w:val="nil"/>
          <w:right w:val="nil"/>
          <w:between w:val="nil"/>
        </w:pBdr>
        <w:spacing w:line="240" w:lineRule="auto"/>
        <w:jc w:val="both"/>
        <w:rPr>
          <w:rFonts w:ascii="Arial Narrow" w:eastAsia="Arial Narrow" w:hAnsi="Arial Narrow" w:cs="Arial Narrow"/>
          <w:sz w:val="24"/>
          <w:szCs w:val="24"/>
        </w:rPr>
      </w:pPr>
    </w:p>
    <w:p w:rsidR="00FF1F16" w:rsidRDefault="004A6500">
      <w:pPr>
        <w:pBdr>
          <w:top w:val="nil"/>
          <w:left w:val="nil"/>
          <w:bottom w:val="nil"/>
          <w:right w:val="nil"/>
          <w:between w:val="nil"/>
        </w:pBd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Para avanzar en la estructuración y consolidación del Fondo de Estabiliza</w:t>
      </w:r>
      <w:r>
        <w:rPr>
          <w:rFonts w:ascii="Arial Narrow" w:eastAsia="Arial Narrow" w:hAnsi="Arial Narrow" w:cs="Arial Narrow"/>
          <w:sz w:val="24"/>
          <w:szCs w:val="24"/>
        </w:rPr>
        <w:t xml:space="preserve">ción Tarifaria – FET, el Ente Gestor y las dependencias competentes de la Administración Municipal adelantaron un proceso de </w:t>
      </w:r>
      <w:r>
        <w:rPr>
          <w:rFonts w:ascii="Arial Narrow" w:eastAsia="Arial Narrow" w:hAnsi="Arial Narrow" w:cs="Arial Narrow"/>
          <w:sz w:val="24"/>
          <w:szCs w:val="24"/>
        </w:rPr>
        <w:lastRenderedPageBreak/>
        <w:t>articulación técnica e institucional orientado a identificar fuentes de financiación, fortalecer el soporte técnico del instrumento</w:t>
      </w:r>
      <w:r>
        <w:rPr>
          <w:rFonts w:ascii="Arial Narrow" w:eastAsia="Arial Narrow" w:hAnsi="Arial Narrow" w:cs="Arial Narrow"/>
          <w:sz w:val="24"/>
          <w:szCs w:val="24"/>
        </w:rPr>
        <w:t xml:space="preserve"> y consolidar el proyecto de acuerdo requerido para su implementación.</w:t>
      </w:r>
    </w:p>
    <w:p w:rsidR="00FF1F16" w:rsidRDefault="004A6500">
      <w:pPr>
        <w:pBdr>
          <w:top w:val="nil"/>
          <w:left w:val="nil"/>
          <w:bottom w:val="nil"/>
          <w:right w:val="nil"/>
          <w:between w:val="nil"/>
        </w:pBd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rsidR="00FF1F16" w:rsidRDefault="004A6500">
      <w:pPr>
        <w:pBdr>
          <w:top w:val="nil"/>
          <w:left w:val="nil"/>
          <w:bottom w:val="nil"/>
          <w:right w:val="nil"/>
          <w:between w:val="nil"/>
        </w:pBd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En desarrollo de este proceso se realizaron actividades de construcción, actualización y ajuste de los documentos soporte del FET, así como mesas de trabajo permanentes entre la Secre</w:t>
      </w:r>
      <w:r>
        <w:rPr>
          <w:rFonts w:ascii="Arial Narrow" w:eastAsia="Arial Narrow" w:hAnsi="Arial Narrow" w:cs="Arial Narrow"/>
          <w:sz w:val="24"/>
          <w:szCs w:val="24"/>
        </w:rPr>
        <w:t>taría de Hacienda, Secretaría de Tránsito, Oficina Asesora Jurídica y el Ente Gestor, mediante las cuales se revisó información técnica, financiera y normativa necesaria para la estructuración del mecanismo de sostenibilidad del sistema.</w:t>
      </w:r>
    </w:p>
    <w:p w:rsidR="00FF1F16" w:rsidRDefault="004A6500">
      <w:pPr>
        <w:pBdr>
          <w:top w:val="nil"/>
          <w:left w:val="nil"/>
          <w:bottom w:val="nil"/>
          <w:right w:val="nil"/>
          <w:between w:val="nil"/>
        </w:pBd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rsidR="00FF1F16" w:rsidRDefault="004A6500">
      <w:pPr>
        <w:pBdr>
          <w:top w:val="nil"/>
          <w:left w:val="nil"/>
          <w:bottom w:val="nil"/>
          <w:right w:val="nil"/>
          <w:between w:val="nil"/>
        </w:pBd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De manera comple</w:t>
      </w:r>
      <w:r>
        <w:rPr>
          <w:rFonts w:ascii="Arial Narrow" w:eastAsia="Arial Narrow" w:hAnsi="Arial Narrow" w:cs="Arial Narrow"/>
          <w:sz w:val="24"/>
          <w:szCs w:val="24"/>
        </w:rPr>
        <w:t>mentaria, se atendieron integralmente observaciones y requerimientos formulados por las dependencias municipales involucradas, fortaleciendo la coordinación interinstitucional y la validación de los soportes requeridos para el trámite correspondiente.</w:t>
      </w:r>
    </w:p>
    <w:p w:rsidR="00FF1F16" w:rsidRDefault="004A6500">
      <w:pPr>
        <w:pBdr>
          <w:top w:val="nil"/>
          <w:left w:val="nil"/>
          <w:bottom w:val="nil"/>
          <w:right w:val="nil"/>
          <w:between w:val="nil"/>
        </w:pBd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rsidR="00FF1F16" w:rsidRDefault="004A6500">
      <w:pPr>
        <w:pBdr>
          <w:top w:val="nil"/>
          <w:left w:val="nil"/>
          <w:bottom w:val="nil"/>
          <w:right w:val="nil"/>
          <w:between w:val="nil"/>
        </w:pBd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Co</w:t>
      </w:r>
      <w:r>
        <w:rPr>
          <w:rFonts w:ascii="Arial Narrow" w:eastAsia="Arial Narrow" w:hAnsi="Arial Narrow" w:cs="Arial Narrow"/>
          <w:sz w:val="24"/>
          <w:szCs w:val="24"/>
        </w:rPr>
        <w:t xml:space="preserve">mo parte del fortalecimiento técnico del proceso, se definió la necesidad de verificar datos reales de demanda y kilómetros recorridos mediante mediciones directas sobre la operación actual, con el propósito de realizar seguimiento al comportamiento de la </w:t>
      </w:r>
      <w:r>
        <w:rPr>
          <w:rFonts w:ascii="Arial Narrow" w:eastAsia="Arial Narrow" w:hAnsi="Arial Narrow" w:cs="Arial Narrow"/>
          <w:sz w:val="24"/>
          <w:szCs w:val="24"/>
        </w:rPr>
        <w:t>demanda y estado actual de la prestación del servicio. Igualmente, se adelantó una visita técnica al SETP de Valledupar por parte del Gerente del Ente Gestor y las Secretarias de Hacienda y Tránsito, permitiendo identificar experiencias aplicables y buenas</w:t>
      </w:r>
      <w:r>
        <w:rPr>
          <w:rFonts w:ascii="Arial Narrow" w:eastAsia="Arial Narrow" w:hAnsi="Arial Narrow" w:cs="Arial Narrow"/>
          <w:sz w:val="24"/>
          <w:szCs w:val="24"/>
        </w:rPr>
        <w:t xml:space="preserve"> prácticas incorporadas posteriormente al documento técnico del FET.</w:t>
      </w:r>
    </w:p>
    <w:p w:rsidR="00FF1F16" w:rsidRDefault="004A6500">
      <w:pPr>
        <w:pBdr>
          <w:top w:val="nil"/>
          <w:left w:val="nil"/>
          <w:bottom w:val="nil"/>
          <w:right w:val="nil"/>
          <w:between w:val="nil"/>
        </w:pBd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rsidR="00FF1F16" w:rsidRDefault="004A6500">
      <w:pPr>
        <w:pBdr>
          <w:top w:val="nil"/>
          <w:left w:val="nil"/>
          <w:bottom w:val="nil"/>
          <w:right w:val="nil"/>
          <w:between w:val="nil"/>
        </w:pBd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El proceso adelantado ha estado acompañado de gestiones institucionales encaminadas a consolidar una fuente cierta de financiación para el sistema, contemplando alternativas asociadas a recursos provenientes de multas de tránsito y la estructuración del pr</w:t>
      </w:r>
      <w:r>
        <w:rPr>
          <w:rFonts w:ascii="Arial Narrow" w:eastAsia="Arial Narrow" w:hAnsi="Arial Narrow" w:cs="Arial Narrow"/>
          <w:sz w:val="24"/>
          <w:szCs w:val="24"/>
        </w:rPr>
        <w:t xml:space="preserve">oyecto de acuerdo </w:t>
      </w:r>
      <w:r>
        <w:rPr>
          <w:rFonts w:ascii="Arial Narrow" w:eastAsia="Arial Narrow" w:hAnsi="Arial Narrow" w:cs="Arial Narrow"/>
          <w:i/>
          <w:iCs/>
          <w:sz w:val="24"/>
          <w:szCs w:val="24"/>
        </w:rPr>
        <w:t>“Por medio del cual se crea el Fondo de Estabilización Tarifaria y Subvención al Sistema Estratégico de Transporte Público de Popayán y se faculta al Alcalde Municipal para reglamentarlo</w:t>
      </w:r>
      <w:r>
        <w:rPr>
          <w:rFonts w:ascii="Arial Narrow" w:eastAsia="Arial Narrow" w:hAnsi="Arial Narrow" w:cs="Arial Narrow"/>
          <w:sz w:val="24"/>
          <w:szCs w:val="24"/>
        </w:rPr>
        <w:t>”, articulado con las dependencias competentes y pro</w:t>
      </w:r>
      <w:r>
        <w:rPr>
          <w:rFonts w:ascii="Arial Narrow" w:eastAsia="Arial Narrow" w:hAnsi="Arial Narrow" w:cs="Arial Narrow"/>
          <w:sz w:val="24"/>
          <w:szCs w:val="24"/>
        </w:rPr>
        <w:t>yectado para su trámite ante el Concejo Municipal.</w:t>
      </w:r>
    </w:p>
    <w:p w:rsidR="00FF1F16" w:rsidRDefault="004A6500">
      <w:pPr>
        <w:pBdr>
          <w:top w:val="nil"/>
          <w:left w:val="nil"/>
          <w:bottom w:val="nil"/>
          <w:right w:val="nil"/>
          <w:between w:val="nil"/>
        </w:pBd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rsidR="00FF1F16" w:rsidRDefault="004A6500">
      <w:pPr>
        <w:spacing w:before="240" w:after="240"/>
        <w:jc w:val="both"/>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Resultados obtenidos:</w:t>
      </w:r>
    </w:p>
    <w:p w:rsidR="00FF1F16" w:rsidRDefault="004A6500">
      <w:pPr>
        <w:pBdr>
          <w:top w:val="nil"/>
          <w:left w:val="nil"/>
          <w:bottom w:val="nil"/>
          <w:right w:val="nil"/>
          <w:between w:val="nil"/>
        </w:pBd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Como resultado de las acciones desarrolladas, se cuenta con una versión técnica y jurídica significativamente fortalecida del documento FET y del proyecto de acuerdo asociado, incorporando ajustes derivados del trabajo articulado entre el Ente Gestor y las</w:t>
      </w:r>
      <w:r>
        <w:rPr>
          <w:rFonts w:ascii="Arial Narrow" w:eastAsia="Arial Narrow" w:hAnsi="Arial Narrow" w:cs="Arial Narrow"/>
          <w:sz w:val="24"/>
          <w:szCs w:val="24"/>
        </w:rPr>
        <w:t xml:space="preserve"> dependencias municipales, así como las observaciones y aprendizajes obtenidos en los ejercicios de validación técnica y referenciación institucional.</w:t>
      </w:r>
    </w:p>
    <w:p w:rsidR="00FF1F16" w:rsidRDefault="004A6500">
      <w:pPr>
        <w:pBdr>
          <w:top w:val="nil"/>
          <w:left w:val="nil"/>
          <w:bottom w:val="nil"/>
          <w:right w:val="nil"/>
          <w:between w:val="nil"/>
        </w:pBd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rsidR="00FF1F16" w:rsidRDefault="004A6500">
      <w:pPr>
        <w:pBdr>
          <w:top w:val="nil"/>
          <w:left w:val="nil"/>
          <w:bottom w:val="nil"/>
          <w:right w:val="nil"/>
          <w:between w:val="nil"/>
        </w:pBd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Este avance permitió consolidar un documento base para revisión institucional y posterior radicación an</w:t>
      </w:r>
      <w:r>
        <w:rPr>
          <w:rFonts w:ascii="Arial Narrow" w:eastAsia="Arial Narrow" w:hAnsi="Arial Narrow" w:cs="Arial Narrow"/>
          <w:sz w:val="24"/>
          <w:szCs w:val="24"/>
        </w:rPr>
        <w:t>te las instancias competentes del municipio y el Honorable Concejo Municipal, fortaleciendo las condiciones para la definición del esquema de sostenibilidad financiera del SETP y la estructuración progresiva de una fuente de respaldo para el posible cierre</w:t>
      </w:r>
      <w:r>
        <w:rPr>
          <w:rFonts w:ascii="Arial Narrow" w:eastAsia="Arial Narrow" w:hAnsi="Arial Narrow" w:cs="Arial Narrow"/>
          <w:sz w:val="24"/>
          <w:szCs w:val="24"/>
        </w:rPr>
        <w:t xml:space="preserve"> financiero de la operación.</w:t>
      </w:r>
    </w:p>
    <w:p w:rsidR="00FF1F16" w:rsidRDefault="004A6500">
      <w:pPr>
        <w:pBdr>
          <w:top w:val="nil"/>
          <w:left w:val="nil"/>
          <w:bottom w:val="nil"/>
          <w:right w:val="nil"/>
          <w:between w:val="nil"/>
        </w:pBd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rsidR="00FF1F16" w:rsidRDefault="004A6500">
      <w:pPr>
        <w:pBdr>
          <w:top w:val="nil"/>
          <w:left w:val="nil"/>
          <w:bottom w:val="nil"/>
          <w:right w:val="nil"/>
          <w:between w:val="nil"/>
        </w:pBdr>
        <w:spacing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El proceso adelantado evidencia que la constitución del FET involucra actuaciones concurrentes de carácter técnico, financiero, jurídico y político que requieren articulación interinstitucional y decisiones de </w:t>
      </w:r>
      <w:r>
        <w:rPr>
          <w:rFonts w:ascii="Arial Narrow" w:eastAsia="Arial Narrow" w:hAnsi="Arial Narrow" w:cs="Arial Narrow"/>
          <w:sz w:val="24"/>
          <w:szCs w:val="24"/>
        </w:rPr>
        <w:lastRenderedPageBreak/>
        <w:t>competencia mun</w:t>
      </w:r>
      <w:r>
        <w:rPr>
          <w:rFonts w:ascii="Arial Narrow" w:eastAsia="Arial Narrow" w:hAnsi="Arial Narrow" w:cs="Arial Narrow"/>
          <w:sz w:val="24"/>
          <w:szCs w:val="24"/>
        </w:rPr>
        <w:t>icipal, razón por la cual el avance del compromiso depende no exclusivamente del Ente Gestor, sino del desarrollo coordinado del trámite institucional correspondiente.</w:t>
      </w:r>
    </w:p>
    <w:p w:rsidR="00FF1F16" w:rsidRDefault="00FF1F16">
      <w:pPr>
        <w:pBdr>
          <w:top w:val="nil"/>
          <w:left w:val="nil"/>
          <w:bottom w:val="nil"/>
          <w:right w:val="nil"/>
          <w:between w:val="nil"/>
        </w:pBdr>
        <w:spacing w:line="240" w:lineRule="auto"/>
        <w:jc w:val="both"/>
        <w:rPr>
          <w:rFonts w:ascii="Arial Narrow" w:eastAsia="Arial Narrow" w:hAnsi="Arial Narrow" w:cs="Arial Narrow"/>
        </w:rPr>
      </w:pPr>
    </w:p>
    <w:p w:rsidR="00FF1F16" w:rsidRDefault="00FF1F16">
      <w:pPr>
        <w:pBdr>
          <w:top w:val="nil"/>
          <w:left w:val="nil"/>
          <w:bottom w:val="nil"/>
          <w:right w:val="nil"/>
          <w:between w:val="nil"/>
        </w:pBdr>
        <w:spacing w:line="240" w:lineRule="auto"/>
        <w:jc w:val="both"/>
        <w:rPr>
          <w:rFonts w:ascii="Arial Narrow" w:eastAsia="Arial Narrow" w:hAnsi="Arial Narrow" w:cs="Arial Narrow"/>
        </w:rPr>
      </w:pPr>
    </w:p>
    <w:p w:rsidR="00FF1F16" w:rsidRDefault="004A6500">
      <w:pPr>
        <w:spacing w:before="240" w:after="240"/>
        <w:jc w:val="both"/>
        <w:rPr>
          <w:rFonts w:ascii="Arial Narrow" w:eastAsia="Arial Narrow" w:hAnsi="Arial Narrow" w:cs="Arial Narrow"/>
          <w:b/>
          <w:bCs/>
        </w:rPr>
      </w:pPr>
      <w:r>
        <w:rPr>
          <w:rFonts w:ascii="Arial Narrow" w:eastAsia="Arial Narrow" w:hAnsi="Arial Narrow" w:cs="Arial Narrow"/>
          <w:b/>
          <w:bCs/>
        </w:rPr>
        <w:t>Plan de trabajo para cada compromiso, con cronograma y actores implicados.</w:t>
      </w:r>
    </w:p>
    <w:tbl>
      <w:tblPr>
        <w:tblStyle w:val="a1"/>
        <w:tblW w:w="9225" w:type="dxa"/>
        <w:jc w:val="cente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3840"/>
        <w:gridCol w:w="2310"/>
        <w:gridCol w:w="3075"/>
      </w:tblGrid>
      <w:tr w:rsidR="00FF1F16">
        <w:trPr>
          <w:trHeight w:val="437"/>
          <w:jc w:val="center"/>
        </w:trPr>
        <w:tc>
          <w:tcPr>
            <w:tcW w:w="3840" w:type="dxa"/>
            <w:shd w:val="clear" w:color="auto" w:fill="D0CECE"/>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b/>
                <w:bCs/>
                <w:color w:val="000000"/>
              </w:rPr>
            </w:pPr>
            <w:r>
              <w:rPr>
                <w:rFonts w:ascii="Arial Narrow" w:eastAsia="Arial Narrow" w:hAnsi="Arial Narrow" w:cs="Arial Narrow"/>
                <w:b/>
                <w:bCs/>
                <w:color w:val="000000"/>
              </w:rPr>
              <w:t>Acción</w:t>
            </w:r>
          </w:p>
        </w:tc>
        <w:tc>
          <w:tcPr>
            <w:tcW w:w="2310" w:type="dxa"/>
            <w:shd w:val="clear" w:color="auto" w:fill="D0CECE"/>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b/>
                <w:bCs/>
                <w:color w:val="000000"/>
              </w:rPr>
            </w:pPr>
            <w:r>
              <w:rPr>
                <w:rFonts w:ascii="Arial Narrow" w:eastAsia="Arial Narrow" w:hAnsi="Arial Narrow" w:cs="Arial Narrow"/>
                <w:b/>
                <w:bCs/>
                <w:color w:val="000000"/>
              </w:rPr>
              <w:t>Resp</w:t>
            </w:r>
            <w:r>
              <w:rPr>
                <w:rFonts w:ascii="Arial Narrow" w:eastAsia="Arial Narrow" w:hAnsi="Arial Narrow" w:cs="Arial Narrow"/>
                <w:b/>
                <w:bCs/>
                <w:color w:val="000000"/>
              </w:rPr>
              <w:t>onsable</w:t>
            </w:r>
          </w:p>
        </w:tc>
        <w:tc>
          <w:tcPr>
            <w:tcW w:w="3075" w:type="dxa"/>
            <w:shd w:val="clear" w:color="auto" w:fill="D0CECE"/>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b/>
                <w:bCs/>
                <w:color w:val="000000"/>
              </w:rPr>
            </w:pPr>
            <w:r>
              <w:rPr>
                <w:rFonts w:ascii="Arial Narrow" w:eastAsia="Arial Narrow" w:hAnsi="Arial Narrow" w:cs="Arial Narrow"/>
                <w:b/>
                <w:bCs/>
                <w:color w:val="000000"/>
              </w:rPr>
              <w:t>Fecha</w:t>
            </w:r>
          </w:p>
        </w:tc>
      </w:tr>
      <w:tr w:rsidR="00FF1F16">
        <w:trPr>
          <w:trHeight w:val="675"/>
          <w:jc w:val="center"/>
        </w:trPr>
        <w:tc>
          <w:tcPr>
            <w:tcW w:w="3840" w:type="dxa"/>
            <w:vAlign w:val="center"/>
          </w:tcPr>
          <w:p w:rsidR="00FF1F16" w:rsidRDefault="004A6500">
            <w:pPr>
              <w:pBdr>
                <w:top w:val="nil"/>
                <w:left w:val="nil"/>
                <w:bottom w:val="nil"/>
                <w:right w:val="nil"/>
                <w:between w:val="nil"/>
              </w:pBdr>
              <w:spacing w:after="200"/>
              <w:rPr>
                <w:rFonts w:ascii="Arial Narrow" w:eastAsia="Arial Narrow" w:hAnsi="Arial Narrow" w:cs="Arial Narrow"/>
                <w:color w:val="000000"/>
              </w:rPr>
            </w:pPr>
            <w:r>
              <w:rPr>
                <w:rFonts w:ascii="Arial Narrow" w:eastAsia="Arial Narrow" w:hAnsi="Arial Narrow" w:cs="Arial Narrow"/>
                <w:color w:val="000000"/>
              </w:rPr>
              <w:t>Actualización documento proyecto de acuerdo FET</w:t>
            </w:r>
          </w:p>
        </w:tc>
        <w:tc>
          <w:tcPr>
            <w:tcW w:w="2310" w:type="dxa"/>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Ente Gestor</w:t>
            </w:r>
          </w:p>
        </w:tc>
        <w:tc>
          <w:tcPr>
            <w:tcW w:w="3075" w:type="dxa"/>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27 de mayo de 2026</w:t>
            </w:r>
          </w:p>
        </w:tc>
      </w:tr>
      <w:tr w:rsidR="00FF1F16">
        <w:trPr>
          <w:trHeight w:val="630"/>
          <w:jc w:val="center"/>
        </w:trPr>
        <w:tc>
          <w:tcPr>
            <w:tcW w:w="3840" w:type="dxa"/>
            <w:vAlign w:val="center"/>
          </w:tcPr>
          <w:p w:rsidR="00FF1F16" w:rsidRDefault="004A6500">
            <w:pPr>
              <w:pBdr>
                <w:top w:val="nil"/>
                <w:left w:val="nil"/>
                <w:bottom w:val="nil"/>
                <w:right w:val="nil"/>
                <w:between w:val="nil"/>
              </w:pBdr>
              <w:spacing w:after="200"/>
              <w:rPr>
                <w:rFonts w:ascii="Arial Narrow" w:eastAsia="Arial Narrow" w:hAnsi="Arial Narrow" w:cs="Arial Narrow"/>
                <w:color w:val="000000"/>
              </w:rPr>
            </w:pPr>
            <w:r>
              <w:rPr>
                <w:rFonts w:ascii="Arial Narrow" w:eastAsia="Arial Narrow" w:hAnsi="Arial Narrow" w:cs="Arial Narrow"/>
                <w:color w:val="000000"/>
              </w:rPr>
              <w:t>Envío documento FET a SH, STTM y Oficina jurídica de la Alcaldía</w:t>
            </w:r>
          </w:p>
        </w:tc>
        <w:tc>
          <w:tcPr>
            <w:tcW w:w="2310" w:type="dxa"/>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Ente Gestor</w:t>
            </w:r>
          </w:p>
        </w:tc>
        <w:tc>
          <w:tcPr>
            <w:tcW w:w="3075" w:type="dxa"/>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28 mayo de 2026</w:t>
            </w:r>
          </w:p>
        </w:tc>
      </w:tr>
      <w:tr w:rsidR="00FF1F16">
        <w:trPr>
          <w:trHeight w:val="959"/>
          <w:jc w:val="center"/>
        </w:trPr>
        <w:tc>
          <w:tcPr>
            <w:tcW w:w="3840" w:type="dxa"/>
            <w:vAlign w:val="center"/>
          </w:tcPr>
          <w:p w:rsidR="00FF1F16" w:rsidRDefault="004A6500">
            <w:pPr>
              <w:pBdr>
                <w:top w:val="nil"/>
                <w:left w:val="nil"/>
                <w:bottom w:val="nil"/>
                <w:right w:val="nil"/>
                <w:between w:val="nil"/>
              </w:pBdr>
              <w:spacing w:after="200"/>
              <w:rPr>
                <w:rFonts w:ascii="Arial Narrow" w:eastAsia="Arial Narrow" w:hAnsi="Arial Narrow" w:cs="Arial Narrow"/>
                <w:color w:val="000000"/>
              </w:rPr>
            </w:pPr>
            <w:r>
              <w:rPr>
                <w:rFonts w:ascii="Arial Narrow" w:eastAsia="Arial Narrow" w:hAnsi="Arial Narrow" w:cs="Arial Narrow"/>
                <w:color w:val="000000"/>
              </w:rPr>
              <w:t>Revisión de la versión final por parte de las SH, STTM y Oficina jurídica de la Alcaldía</w:t>
            </w:r>
          </w:p>
        </w:tc>
        <w:tc>
          <w:tcPr>
            <w:tcW w:w="2310" w:type="dxa"/>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SH, STTM y OAJM</w:t>
            </w:r>
          </w:p>
        </w:tc>
        <w:tc>
          <w:tcPr>
            <w:tcW w:w="3075" w:type="dxa"/>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rPr>
              <w:t>16</w:t>
            </w:r>
            <w:r>
              <w:rPr>
                <w:rFonts w:ascii="Arial Narrow" w:eastAsia="Arial Narrow" w:hAnsi="Arial Narrow" w:cs="Arial Narrow"/>
                <w:color w:val="000000"/>
              </w:rPr>
              <w:t xml:space="preserve"> junio de 2026</w:t>
            </w:r>
          </w:p>
        </w:tc>
      </w:tr>
      <w:tr w:rsidR="00FF1F16">
        <w:trPr>
          <w:trHeight w:val="543"/>
          <w:jc w:val="center"/>
        </w:trPr>
        <w:tc>
          <w:tcPr>
            <w:tcW w:w="3840" w:type="dxa"/>
            <w:vAlign w:val="center"/>
          </w:tcPr>
          <w:p w:rsidR="00FF1F16" w:rsidRDefault="004A6500">
            <w:pPr>
              <w:pBdr>
                <w:top w:val="nil"/>
                <w:left w:val="nil"/>
                <w:bottom w:val="nil"/>
                <w:right w:val="nil"/>
                <w:between w:val="nil"/>
              </w:pBdr>
              <w:spacing w:after="200"/>
              <w:rPr>
                <w:rFonts w:ascii="Arial Narrow" w:eastAsia="Arial Narrow" w:hAnsi="Arial Narrow" w:cs="Arial Narrow"/>
                <w:color w:val="000000"/>
                <w:highlight w:val="white"/>
              </w:rPr>
            </w:pPr>
            <w:r>
              <w:rPr>
                <w:rFonts w:ascii="Arial Narrow" w:eastAsia="Arial Narrow" w:hAnsi="Arial Narrow" w:cs="Arial Narrow"/>
                <w:color w:val="000000"/>
                <w:highlight w:val="white"/>
              </w:rPr>
              <w:t>Radicación del proyecto de acuerdo</w:t>
            </w:r>
          </w:p>
        </w:tc>
        <w:tc>
          <w:tcPr>
            <w:tcW w:w="2310" w:type="dxa"/>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color w:val="000000"/>
                <w:highlight w:val="white"/>
              </w:rPr>
            </w:pPr>
            <w:r>
              <w:rPr>
                <w:rFonts w:ascii="Arial Narrow" w:eastAsia="Arial Narrow" w:hAnsi="Arial Narrow" w:cs="Arial Narrow"/>
                <w:color w:val="000000"/>
                <w:highlight w:val="white"/>
              </w:rPr>
              <w:t>SH, STTM, OAJM y EG</w:t>
            </w:r>
          </w:p>
        </w:tc>
        <w:tc>
          <w:tcPr>
            <w:tcW w:w="3075" w:type="dxa"/>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color w:val="000000"/>
                <w:highlight w:val="white"/>
              </w:rPr>
            </w:pPr>
            <w:r>
              <w:rPr>
                <w:rFonts w:ascii="Arial Narrow" w:eastAsia="Arial Narrow" w:hAnsi="Arial Narrow" w:cs="Arial Narrow"/>
                <w:highlight w:val="white"/>
              </w:rPr>
              <w:t>J</w:t>
            </w:r>
            <w:r>
              <w:rPr>
                <w:rFonts w:ascii="Arial Narrow" w:eastAsia="Arial Narrow" w:hAnsi="Arial Narrow" w:cs="Arial Narrow"/>
                <w:color w:val="000000"/>
                <w:highlight w:val="white"/>
              </w:rPr>
              <w:t>unio de 2026</w:t>
            </w:r>
          </w:p>
        </w:tc>
      </w:tr>
      <w:tr w:rsidR="00FF1F16">
        <w:trPr>
          <w:trHeight w:val="1149"/>
          <w:jc w:val="center"/>
        </w:trPr>
        <w:tc>
          <w:tcPr>
            <w:tcW w:w="3840" w:type="dxa"/>
            <w:vAlign w:val="center"/>
          </w:tcPr>
          <w:p w:rsidR="00FF1F16" w:rsidRDefault="004A6500">
            <w:pPr>
              <w:pBdr>
                <w:top w:val="nil"/>
                <w:left w:val="nil"/>
                <w:bottom w:val="nil"/>
                <w:right w:val="nil"/>
                <w:between w:val="nil"/>
              </w:pBdr>
              <w:spacing w:after="200"/>
              <w:rPr>
                <w:rFonts w:ascii="Arial Narrow" w:eastAsia="Arial Narrow" w:hAnsi="Arial Narrow" w:cs="Arial Narrow"/>
                <w:color w:val="000000"/>
                <w:highlight w:val="white"/>
              </w:rPr>
            </w:pPr>
            <w:r>
              <w:rPr>
                <w:rFonts w:ascii="Arial Narrow" w:eastAsia="Arial Narrow" w:hAnsi="Arial Narrow" w:cs="Arial Narrow"/>
                <w:highlight w:val="white"/>
              </w:rPr>
              <w:t xml:space="preserve">Socialización </w:t>
            </w:r>
            <w:r>
              <w:rPr>
                <w:rFonts w:ascii="Arial Narrow" w:eastAsia="Arial Narrow" w:hAnsi="Arial Narrow" w:cs="Arial Narrow"/>
                <w:color w:val="000000"/>
                <w:highlight w:val="white"/>
              </w:rPr>
              <w:t>ante el concejo del proyecto de acuerdo</w:t>
            </w:r>
          </w:p>
          <w:p w:rsidR="00FF1F16" w:rsidRDefault="00FF1F16">
            <w:pPr>
              <w:pBdr>
                <w:top w:val="nil"/>
                <w:left w:val="nil"/>
                <w:bottom w:val="nil"/>
                <w:right w:val="nil"/>
                <w:between w:val="nil"/>
              </w:pBdr>
              <w:spacing w:after="200"/>
              <w:rPr>
                <w:rFonts w:ascii="Arial Narrow" w:eastAsia="Arial Narrow" w:hAnsi="Arial Narrow" w:cs="Arial Narrow"/>
                <w:color w:val="000000"/>
                <w:highlight w:val="white"/>
              </w:rPr>
            </w:pPr>
          </w:p>
        </w:tc>
        <w:tc>
          <w:tcPr>
            <w:tcW w:w="2310" w:type="dxa"/>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color w:val="000000"/>
                <w:highlight w:val="white"/>
              </w:rPr>
            </w:pPr>
            <w:r>
              <w:rPr>
                <w:rFonts w:ascii="Arial Narrow" w:eastAsia="Arial Narrow" w:hAnsi="Arial Narrow" w:cs="Arial Narrow"/>
                <w:color w:val="000000"/>
                <w:highlight w:val="white"/>
              </w:rPr>
              <w:t>SH, STTM, OAJM y EG</w:t>
            </w:r>
          </w:p>
          <w:p w:rsidR="00FF1F16" w:rsidRDefault="004A6500">
            <w:pPr>
              <w:pBdr>
                <w:top w:val="nil"/>
                <w:left w:val="nil"/>
                <w:bottom w:val="nil"/>
                <w:right w:val="nil"/>
                <w:between w:val="nil"/>
              </w:pBdr>
              <w:spacing w:after="200"/>
              <w:jc w:val="center"/>
              <w:rPr>
                <w:rFonts w:ascii="Arial Narrow" w:eastAsia="Arial Narrow" w:hAnsi="Arial Narrow" w:cs="Arial Narrow"/>
                <w:highlight w:val="white"/>
              </w:rPr>
            </w:pPr>
            <w:r>
              <w:rPr>
                <w:rFonts w:ascii="Arial Narrow" w:eastAsia="Arial Narrow" w:hAnsi="Arial Narrow" w:cs="Arial Narrow"/>
                <w:highlight w:val="white"/>
              </w:rPr>
              <w:t>Concejo Municipal</w:t>
            </w:r>
          </w:p>
        </w:tc>
        <w:tc>
          <w:tcPr>
            <w:tcW w:w="3075" w:type="dxa"/>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color w:val="000000"/>
                <w:highlight w:val="white"/>
              </w:rPr>
            </w:pPr>
            <w:r>
              <w:rPr>
                <w:rFonts w:ascii="Arial Narrow" w:eastAsia="Arial Narrow" w:hAnsi="Arial Narrow" w:cs="Arial Narrow"/>
                <w:color w:val="000000"/>
                <w:highlight w:val="white"/>
              </w:rPr>
              <w:t>Ju</w:t>
            </w:r>
            <w:r>
              <w:rPr>
                <w:rFonts w:ascii="Arial Narrow" w:eastAsia="Arial Narrow" w:hAnsi="Arial Narrow" w:cs="Arial Narrow"/>
                <w:highlight w:val="white"/>
              </w:rPr>
              <w:t>l</w:t>
            </w:r>
            <w:r>
              <w:rPr>
                <w:rFonts w:ascii="Arial Narrow" w:eastAsia="Arial Narrow" w:hAnsi="Arial Narrow" w:cs="Arial Narrow"/>
                <w:color w:val="000000"/>
                <w:highlight w:val="white"/>
              </w:rPr>
              <w:t>io de 2026</w:t>
            </w:r>
          </w:p>
          <w:p w:rsidR="00FF1F16" w:rsidRDefault="004A6500">
            <w:pPr>
              <w:pBdr>
                <w:top w:val="nil"/>
                <w:left w:val="nil"/>
                <w:bottom w:val="nil"/>
                <w:right w:val="nil"/>
                <w:between w:val="nil"/>
              </w:pBdr>
              <w:spacing w:after="200"/>
              <w:jc w:val="center"/>
              <w:rPr>
                <w:rFonts w:ascii="Arial Narrow" w:eastAsia="Arial Narrow" w:hAnsi="Arial Narrow" w:cs="Arial Narrow"/>
                <w:color w:val="000000"/>
                <w:highlight w:val="white"/>
              </w:rPr>
            </w:pPr>
            <w:r>
              <w:rPr>
                <w:rFonts w:ascii="Arial Narrow" w:eastAsia="Arial Narrow" w:hAnsi="Arial Narrow" w:cs="Arial Narrow"/>
                <w:color w:val="000000"/>
                <w:highlight w:val="white"/>
              </w:rPr>
              <w:t>(Fecha según programación del Concejo de Popayán)</w:t>
            </w:r>
          </w:p>
        </w:tc>
      </w:tr>
      <w:tr w:rsidR="00FF1F16">
        <w:trPr>
          <w:trHeight w:val="1150"/>
          <w:jc w:val="center"/>
        </w:trPr>
        <w:tc>
          <w:tcPr>
            <w:tcW w:w="3840" w:type="dxa"/>
            <w:vAlign w:val="center"/>
          </w:tcPr>
          <w:p w:rsidR="00FF1F16" w:rsidRDefault="004A6500">
            <w:pPr>
              <w:pBdr>
                <w:top w:val="nil"/>
                <w:left w:val="nil"/>
                <w:bottom w:val="nil"/>
                <w:right w:val="nil"/>
                <w:between w:val="nil"/>
              </w:pBdr>
              <w:spacing w:after="200"/>
              <w:rPr>
                <w:rFonts w:ascii="Arial Narrow" w:eastAsia="Arial Narrow" w:hAnsi="Arial Narrow" w:cs="Arial Narrow"/>
                <w:color w:val="000000"/>
                <w:highlight w:val="white"/>
              </w:rPr>
            </w:pPr>
            <w:r>
              <w:rPr>
                <w:rFonts w:ascii="Arial Narrow" w:eastAsia="Arial Narrow" w:hAnsi="Arial Narrow" w:cs="Arial Narrow"/>
                <w:color w:val="000000"/>
                <w:highlight w:val="white"/>
              </w:rPr>
              <w:t>Debates</w:t>
            </w:r>
          </w:p>
        </w:tc>
        <w:tc>
          <w:tcPr>
            <w:tcW w:w="2310" w:type="dxa"/>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color w:val="000000"/>
                <w:highlight w:val="white"/>
              </w:rPr>
            </w:pPr>
            <w:r>
              <w:rPr>
                <w:rFonts w:ascii="Arial Narrow" w:eastAsia="Arial Narrow" w:hAnsi="Arial Narrow" w:cs="Arial Narrow"/>
                <w:color w:val="000000"/>
                <w:highlight w:val="white"/>
              </w:rPr>
              <w:t>SH, STTM, OAJM y EG</w:t>
            </w:r>
          </w:p>
          <w:p w:rsidR="00FF1F16" w:rsidRDefault="004A6500">
            <w:pPr>
              <w:spacing w:after="200"/>
              <w:jc w:val="center"/>
              <w:rPr>
                <w:rFonts w:ascii="Arial Narrow" w:eastAsia="Arial Narrow" w:hAnsi="Arial Narrow" w:cs="Arial Narrow"/>
                <w:highlight w:val="white"/>
              </w:rPr>
            </w:pPr>
            <w:r>
              <w:rPr>
                <w:rFonts w:ascii="Arial Narrow" w:eastAsia="Arial Narrow" w:hAnsi="Arial Narrow" w:cs="Arial Narrow"/>
                <w:highlight w:val="white"/>
              </w:rPr>
              <w:t>Concejo Municipal</w:t>
            </w:r>
          </w:p>
        </w:tc>
        <w:tc>
          <w:tcPr>
            <w:tcW w:w="3075" w:type="dxa"/>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color w:val="000000"/>
                <w:highlight w:val="white"/>
              </w:rPr>
            </w:pPr>
            <w:r>
              <w:rPr>
                <w:rFonts w:ascii="Arial Narrow" w:eastAsia="Arial Narrow" w:hAnsi="Arial Narrow" w:cs="Arial Narrow"/>
                <w:color w:val="000000"/>
                <w:highlight w:val="white"/>
              </w:rPr>
              <w:t>Julio 2026</w:t>
            </w:r>
          </w:p>
          <w:p w:rsidR="00FF1F16" w:rsidRDefault="004A6500">
            <w:pPr>
              <w:spacing w:after="200"/>
              <w:jc w:val="center"/>
              <w:rPr>
                <w:rFonts w:ascii="Arial Narrow" w:eastAsia="Arial Narrow" w:hAnsi="Arial Narrow" w:cs="Arial Narrow"/>
                <w:highlight w:val="white"/>
              </w:rPr>
            </w:pPr>
            <w:r>
              <w:rPr>
                <w:rFonts w:ascii="Arial Narrow" w:eastAsia="Arial Narrow" w:hAnsi="Arial Narrow" w:cs="Arial Narrow"/>
                <w:highlight w:val="white"/>
              </w:rPr>
              <w:t>(Fecha según programación del Concejo de Popayán)</w:t>
            </w:r>
          </w:p>
        </w:tc>
      </w:tr>
      <w:tr w:rsidR="00FF1F16">
        <w:trPr>
          <w:trHeight w:val="444"/>
          <w:jc w:val="center"/>
        </w:trPr>
        <w:tc>
          <w:tcPr>
            <w:tcW w:w="3840" w:type="dxa"/>
            <w:vAlign w:val="center"/>
          </w:tcPr>
          <w:p w:rsidR="00FF1F16" w:rsidRDefault="004A6500">
            <w:pPr>
              <w:pBdr>
                <w:top w:val="nil"/>
                <w:left w:val="nil"/>
                <w:bottom w:val="nil"/>
                <w:right w:val="nil"/>
                <w:between w:val="nil"/>
              </w:pBdr>
              <w:spacing w:after="200"/>
              <w:rPr>
                <w:rFonts w:ascii="Arial Narrow" w:eastAsia="Arial Narrow" w:hAnsi="Arial Narrow" w:cs="Arial Narrow"/>
                <w:color w:val="000000"/>
                <w:highlight w:val="white"/>
              </w:rPr>
            </w:pPr>
            <w:r>
              <w:rPr>
                <w:rFonts w:ascii="Arial Narrow" w:eastAsia="Arial Narrow" w:hAnsi="Arial Narrow" w:cs="Arial Narrow"/>
                <w:highlight w:val="white"/>
              </w:rPr>
              <w:t>Sanción y publicación de decreto reglamentario</w:t>
            </w:r>
          </w:p>
        </w:tc>
        <w:tc>
          <w:tcPr>
            <w:tcW w:w="2310" w:type="dxa"/>
            <w:vAlign w:val="center"/>
          </w:tcPr>
          <w:p w:rsidR="00FF1F16" w:rsidRDefault="004A6500">
            <w:pPr>
              <w:spacing w:after="200"/>
              <w:jc w:val="center"/>
              <w:rPr>
                <w:rFonts w:ascii="Arial Narrow" w:eastAsia="Arial Narrow" w:hAnsi="Arial Narrow" w:cs="Arial Narrow"/>
                <w:highlight w:val="white"/>
              </w:rPr>
            </w:pPr>
            <w:r>
              <w:rPr>
                <w:rFonts w:ascii="Arial Narrow" w:eastAsia="Arial Narrow" w:hAnsi="Arial Narrow" w:cs="Arial Narrow"/>
                <w:highlight w:val="white"/>
              </w:rPr>
              <w:t>SH, OAJM y EG</w:t>
            </w:r>
          </w:p>
        </w:tc>
        <w:tc>
          <w:tcPr>
            <w:tcW w:w="3075" w:type="dxa"/>
            <w:vAlign w:val="center"/>
          </w:tcPr>
          <w:p w:rsidR="00FF1F16" w:rsidRDefault="004A6500">
            <w:pPr>
              <w:spacing w:after="200"/>
              <w:jc w:val="center"/>
              <w:rPr>
                <w:rFonts w:ascii="Arial Narrow" w:eastAsia="Arial Narrow" w:hAnsi="Arial Narrow" w:cs="Arial Narrow"/>
                <w:highlight w:val="white"/>
              </w:rPr>
            </w:pPr>
            <w:r>
              <w:rPr>
                <w:rFonts w:ascii="Arial Narrow" w:eastAsia="Arial Narrow" w:hAnsi="Arial Narrow" w:cs="Arial Narrow"/>
                <w:highlight w:val="white"/>
              </w:rPr>
              <w:t>Octubre 2026</w:t>
            </w:r>
          </w:p>
          <w:p w:rsidR="00FF1F16" w:rsidRDefault="004A6500">
            <w:pPr>
              <w:spacing w:after="200"/>
              <w:jc w:val="center"/>
              <w:rPr>
                <w:rFonts w:ascii="Arial Narrow" w:eastAsia="Arial Narrow" w:hAnsi="Arial Narrow" w:cs="Arial Narrow"/>
                <w:highlight w:val="white"/>
              </w:rPr>
            </w:pPr>
            <w:r>
              <w:rPr>
                <w:rFonts w:ascii="Arial Narrow" w:eastAsia="Arial Narrow" w:hAnsi="Arial Narrow" w:cs="Arial Narrow"/>
                <w:highlight w:val="white"/>
              </w:rPr>
              <w:t>(Fecha según aprobación del Concejo de Popayán)</w:t>
            </w:r>
          </w:p>
        </w:tc>
      </w:tr>
      <w:tr w:rsidR="00FF1F16">
        <w:trPr>
          <w:trHeight w:val="690"/>
          <w:jc w:val="center"/>
        </w:trPr>
        <w:tc>
          <w:tcPr>
            <w:tcW w:w="3840" w:type="dxa"/>
            <w:vAlign w:val="center"/>
          </w:tcPr>
          <w:p w:rsidR="00FF1F16" w:rsidRDefault="004A6500">
            <w:pPr>
              <w:pBdr>
                <w:top w:val="nil"/>
                <w:left w:val="nil"/>
                <w:bottom w:val="nil"/>
                <w:right w:val="nil"/>
                <w:between w:val="nil"/>
              </w:pBdr>
              <w:spacing w:after="200"/>
              <w:rPr>
                <w:rFonts w:ascii="Arial Narrow" w:eastAsia="Arial Narrow" w:hAnsi="Arial Narrow" w:cs="Arial Narrow"/>
                <w:highlight w:val="white"/>
              </w:rPr>
            </w:pPr>
            <w:r>
              <w:rPr>
                <w:rFonts w:ascii="Arial Narrow" w:eastAsia="Arial Narrow" w:hAnsi="Arial Narrow" w:cs="Arial Narrow"/>
                <w:highlight w:val="white"/>
              </w:rPr>
              <w:t>Constitución del FET</w:t>
            </w:r>
          </w:p>
        </w:tc>
        <w:tc>
          <w:tcPr>
            <w:tcW w:w="2310" w:type="dxa"/>
            <w:vAlign w:val="center"/>
          </w:tcPr>
          <w:p w:rsidR="00FF1F16" w:rsidRDefault="004A6500">
            <w:pPr>
              <w:spacing w:after="200"/>
              <w:jc w:val="center"/>
              <w:rPr>
                <w:rFonts w:ascii="Arial Narrow" w:eastAsia="Arial Narrow" w:hAnsi="Arial Narrow" w:cs="Arial Narrow"/>
                <w:highlight w:val="white"/>
              </w:rPr>
            </w:pPr>
            <w:r>
              <w:rPr>
                <w:rFonts w:ascii="Arial Narrow" w:eastAsia="Arial Narrow" w:hAnsi="Arial Narrow" w:cs="Arial Narrow"/>
                <w:highlight w:val="white"/>
              </w:rPr>
              <w:t>SH, OAJM y EG</w:t>
            </w:r>
          </w:p>
        </w:tc>
        <w:tc>
          <w:tcPr>
            <w:tcW w:w="3075" w:type="dxa"/>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highlight w:val="white"/>
              </w:rPr>
            </w:pPr>
            <w:r>
              <w:rPr>
                <w:rFonts w:ascii="Arial Narrow" w:eastAsia="Arial Narrow" w:hAnsi="Arial Narrow" w:cs="Arial Narrow"/>
                <w:highlight w:val="white"/>
              </w:rPr>
              <w:t>Noviembre</w:t>
            </w:r>
            <w:r>
              <w:rPr>
                <w:rFonts w:ascii="Arial Narrow" w:eastAsia="Arial Narrow" w:hAnsi="Arial Narrow" w:cs="Arial Narrow"/>
                <w:highlight w:val="white"/>
              </w:rPr>
              <w:t xml:space="preserve"> 2026</w:t>
            </w:r>
            <w:r>
              <w:rPr>
                <w:rFonts w:ascii="Arial Narrow" w:eastAsia="Arial Narrow" w:hAnsi="Arial Narrow" w:cs="Arial Narrow"/>
                <w:highlight w:val="white"/>
              </w:rPr>
              <w:t xml:space="preserve"> (Fecha según aprobación del Concejo de Popayán)</w:t>
            </w:r>
          </w:p>
        </w:tc>
      </w:tr>
    </w:tbl>
    <w:p w:rsidR="00FF1F16" w:rsidRDefault="00FF1F16">
      <w:pPr>
        <w:rPr>
          <w:rFonts w:ascii="Arial Narrow" w:eastAsia="Arial Narrow" w:hAnsi="Arial Narrow" w:cs="Arial Narrow"/>
        </w:rPr>
      </w:pPr>
    </w:p>
    <w:p w:rsidR="00FF1F16" w:rsidRDefault="004A6500">
      <w:pPr>
        <w:rPr>
          <w:rFonts w:ascii="Arial Narrow" w:eastAsia="Arial Narrow" w:hAnsi="Arial Narrow" w:cs="Arial Narrow"/>
          <w:sz w:val="24"/>
          <w:szCs w:val="24"/>
        </w:rPr>
      </w:pPr>
      <w:r>
        <w:rPr>
          <w:rFonts w:ascii="Arial Narrow" w:eastAsia="Arial Narrow" w:hAnsi="Arial Narrow" w:cs="Arial Narrow"/>
          <w:b/>
          <w:bCs/>
          <w:sz w:val="24"/>
          <w:szCs w:val="24"/>
        </w:rPr>
        <w:t>Se mantiene la fecha inicial Límite:</w:t>
      </w:r>
      <w:r>
        <w:rPr>
          <w:rFonts w:ascii="Arial Narrow" w:eastAsia="Arial Narrow" w:hAnsi="Arial Narrow" w:cs="Arial Narrow"/>
          <w:sz w:val="24"/>
          <w:szCs w:val="24"/>
        </w:rPr>
        <w:t xml:space="preserve"> noviembre de 2026</w:t>
      </w:r>
    </w:p>
    <w:p w:rsidR="00FF1F16" w:rsidRDefault="00FF1F16">
      <w:pPr>
        <w:rPr>
          <w:rFonts w:ascii="Arial Narrow" w:eastAsia="Arial Narrow" w:hAnsi="Arial Narrow" w:cs="Arial Narrow"/>
        </w:rPr>
      </w:pPr>
    </w:p>
    <w:p w:rsidR="00FF1F16" w:rsidRDefault="004A6500">
      <w:pPr>
        <w:numPr>
          <w:ilvl w:val="0"/>
          <w:numId w:val="1"/>
        </w:numPr>
        <w:pBdr>
          <w:top w:val="nil"/>
          <w:left w:val="nil"/>
          <w:bottom w:val="nil"/>
          <w:right w:val="nil"/>
          <w:between w:val="nil"/>
        </w:pBdr>
        <w:spacing w:line="240" w:lineRule="auto"/>
        <w:rPr>
          <w:rFonts w:ascii="Arial Narrow" w:eastAsia="Arial Narrow" w:hAnsi="Arial Narrow" w:cs="Arial Narrow"/>
          <w:b/>
          <w:bCs/>
          <w:color w:val="000000"/>
          <w:sz w:val="24"/>
          <w:szCs w:val="24"/>
        </w:rPr>
      </w:pPr>
      <w:r>
        <w:rPr>
          <w:rFonts w:ascii="Arial Narrow" w:eastAsia="Arial Narrow" w:hAnsi="Arial Narrow" w:cs="Arial Narrow"/>
          <w:b/>
          <w:bCs/>
          <w:color w:val="000000"/>
          <w:sz w:val="24"/>
          <w:szCs w:val="24"/>
        </w:rPr>
        <w:lastRenderedPageBreak/>
        <w:t xml:space="preserve">CIERRE DEL PROCESO ADMINISTRATIVO Y LEGAL PARA LA OPERACIÓN DEL SERVICIO. </w:t>
      </w:r>
    </w:p>
    <w:p w:rsidR="00FF1F16" w:rsidRDefault="00FF1F16">
      <w:pPr>
        <w:rPr>
          <w:rFonts w:ascii="Arial Narrow" w:eastAsia="Arial Narrow" w:hAnsi="Arial Narrow" w:cs="Arial Narrow"/>
          <w:sz w:val="24"/>
          <w:szCs w:val="24"/>
        </w:rPr>
      </w:pPr>
    </w:p>
    <w:p w:rsidR="00FF1F16" w:rsidRDefault="004A6500">
      <w:pPr>
        <w:jc w:val="both"/>
        <w:rPr>
          <w:rFonts w:ascii="Arial Narrow" w:eastAsia="Arial Narrow" w:hAnsi="Arial Narrow" w:cs="Arial Narrow"/>
          <w:sz w:val="24"/>
          <w:szCs w:val="24"/>
        </w:rPr>
      </w:pPr>
      <w:r>
        <w:rPr>
          <w:rFonts w:ascii="Arial Narrow" w:eastAsia="Arial Narrow" w:hAnsi="Arial Narrow" w:cs="Arial Narrow"/>
          <w:b/>
          <w:bCs/>
          <w:sz w:val="24"/>
          <w:szCs w:val="24"/>
        </w:rPr>
        <w:t>Compromiso:</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Agotar el proceso de socialización, definición y emisión de los actos administrativos de reorganización de rutas o la definición e inicio del proceso de licitación de la operación.</w:t>
      </w:r>
    </w:p>
    <w:p w:rsidR="00FF1F16" w:rsidRDefault="004A6500">
      <w:pPr>
        <w:rPr>
          <w:rFonts w:ascii="Arial Narrow" w:eastAsia="Arial Narrow" w:hAnsi="Arial Narrow" w:cs="Arial Narrow"/>
          <w:b/>
          <w:bCs/>
          <w:sz w:val="24"/>
          <w:szCs w:val="24"/>
        </w:rPr>
      </w:pPr>
      <w:r>
        <w:rPr>
          <w:rFonts w:ascii="Arial Narrow" w:eastAsia="Arial Narrow" w:hAnsi="Arial Narrow" w:cs="Arial Narrow"/>
          <w:b/>
          <w:bCs/>
          <w:sz w:val="24"/>
          <w:szCs w:val="24"/>
        </w:rPr>
        <w:t>Responsable Principal:</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Secretaría de Tránsito y Transporte/ Ente Gestor</w:t>
      </w:r>
    </w:p>
    <w:p w:rsidR="00FF1F16" w:rsidRDefault="004A6500">
      <w:pPr>
        <w:rPr>
          <w:rFonts w:ascii="Arial Narrow" w:eastAsia="Arial Narrow" w:hAnsi="Arial Narrow" w:cs="Arial Narrow"/>
          <w:sz w:val="24"/>
          <w:szCs w:val="24"/>
        </w:rPr>
      </w:pPr>
      <w:r>
        <w:rPr>
          <w:rFonts w:ascii="Arial Narrow" w:eastAsia="Arial Narrow" w:hAnsi="Arial Narrow" w:cs="Arial Narrow"/>
          <w:b/>
          <w:bCs/>
          <w:sz w:val="24"/>
          <w:szCs w:val="24"/>
        </w:rPr>
        <w:t>Fec</w:t>
      </w:r>
      <w:r>
        <w:rPr>
          <w:rFonts w:ascii="Arial Narrow" w:eastAsia="Arial Narrow" w:hAnsi="Arial Narrow" w:cs="Arial Narrow"/>
          <w:b/>
          <w:bCs/>
          <w:sz w:val="24"/>
          <w:szCs w:val="24"/>
        </w:rPr>
        <w:t>ha inicial Límite:</w:t>
      </w:r>
      <w:r>
        <w:rPr>
          <w:rFonts w:ascii="Arial Narrow" w:eastAsia="Arial Narrow" w:hAnsi="Arial Narrow" w:cs="Arial Narrow"/>
          <w:sz w:val="24"/>
          <w:szCs w:val="24"/>
        </w:rPr>
        <w:t xml:space="preserve"> abril 2026</w:t>
      </w:r>
    </w:p>
    <w:p w:rsidR="00FF1F16" w:rsidRDefault="00FF1F16">
      <w:pPr>
        <w:rPr>
          <w:rFonts w:ascii="Arial Narrow" w:eastAsia="Arial Narrow" w:hAnsi="Arial Narrow" w:cs="Arial Narrow"/>
          <w:b/>
          <w:bCs/>
          <w:sz w:val="24"/>
          <w:szCs w:val="24"/>
          <w:u w:val="single"/>
        </w:rPr>
      </w:pPr>
    </w:p>
    <w:p w:rsidR="00FF1F16" w:rsidRDefault="004A6500">
      <w:pPr>
        <w:rPr>
          <w:rFonts w:ascii="Arial Narrow" w:eastAsia="Arial Narrow" w:hAnsi="Arial Narrow" w:cs="Arial Narrow"/>
          <w:sz w:val="24"/>
          <w:szCs w:val="24"/>
          <w:u w:val="single"/>
        </w:rPr>
      </w:pPr>
      <w:r>
        <w:rPr>
          <w:rFonts w:ascii="Arial Narrow" w:eastAsia="Arial Narrow" w:hAnsi="Arial Narrow" w:cs="Arial Narrow"/>
          <w:b/>
          <w:bCs/>
          <w:sz w:val="24"/>
          <w:szCs w:val="24"/>
          <w:u w:val="single"/>
        </w:rPr>
        <w:t>Acciones adelantadas</w:t>
      </w:r>
      <w:r>
        <w:rPr>
          <w:rFonts w:ascii="Arial Narrow" w:eastAsia="Arial Narrow" w:hAnsi="Arial Narrow" w:cs="Arial Narrow"/>
          <w:sz w:val="24"/>
          <w:szCs w:val="24"/>
          <w:u w:val="single"/>
        </w:rPr>
        <w:t xml:space="preserve"> </w:t>
      </w:r>
    </w:p>
    <w:p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Durante el año 2025, de manera conjunta entre la Secretaría de Tránsito y Transporte Municipal y el Ente Gestor, se identificó que los estudios de la Estructuración Técnica, Legal y Financiera – ETLF aprobados por el DNP mediante radicado No. 2019528026023</w:t>
      </w:r>
      <w:r>
        <w:rPr>
          <w:rFonts w:ascii="Arial Narrow" w:eastAsia="Arial Narrow" w:hAnsi="Arial Narrow" w:cs="Arial Narrow"/>
          <w:sz w:val="24"/>
          <w:szCs w:val="24"/>
        </w:rPr>
        <w:t>1 del 2 de mayo de 2019, así como la actualización del componente técnico realizada en 2023, requerían revisión y armonización frente a las condiciones actuales de prestación del servicio y del proceso de implementación del SETP.</w:t>
      </w:r>
    </w:p>
    <w:p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En desarrollo de este pr</w:t>
      </w:r>
      <w:r>
        <w:rPr>
          <w:rFonts w:ascii="Arial Narrow" w:eastAsia="Arial Narrow" w:hAnsi="Arial Narrow" w:cs="Arial Narrow"/>
          <w:sz w:val="24"/>
          <w:szCs w:val="24"/>
        </w:rPr>
        <w:t>oceso se adelantó revisión técnica y administrativa de los documentos asociados al permiso de operación y reorganización del servicio, incorporando las observaciones presentadas por las empresas transportadoras y los análisis derivados de las dinámicas act</w:t>
      </w:r>
      <w:r>
        <w:rPr>
          <w:rFonts w:ascii="Arial Narrow" w:eastAsia="Arial Narrow" w:hAnsi="Arial Narrow" w:cs="Arial Narrow"/>
          <w:sz w:val="24"/>
          <w:szCs w:val="24"/>
        </w:rPr>
        <w:t>uales del transporte público colectivo del municipio.</w:t>
      </w:r>
    </w:p>
    <w:p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De igual manera, entre el Ente Gestor y la Secretaría de Tránsito se desarrollaron mesas técnicas orientadas a evaluar la incorporación de vehículos al parque automotor y el análisis del impacto opera</w:t>
      </w:r>
      <w:r>
        <w:rPr>
          <w:rFonts w:ascii="Arial Narrow" w:eastAsia="Arial Narrow" w:hAnsi="Arial Narrow" w:cs="Arial Narrow"/>
          <w:sz w:val="24"/>
          <w:szCs w:val="24"/>
        </w:rPr>
        <w:t>cional y financiero derivado la entrada de flota usada, incorporación de rutas desatendidas, que impactan en el esquema de implementación del SETP.</w:t>
      </w:r>
    </w:p>
    <w:p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 xml:space="preserve">Como parte de este ejercicio técnico e institucional, se reconoce que debe realizarse una actualización y </w:t>
      </w:r>
      <w:r>
        <w:rPr>
          <w:rFonts w:ascii="Arial Narrow" w:eastAsia="Arial Narrow" w:hAnsi="Arial Narrow" w:cs="Arial Narrow"/>
          <w:sz w:val="24"/>
          <w:szCs w:val="24"/>
        </w:rPr>
        <w:t xml:space="preserve">ajuste del documento asociado al Permiso de Operación, el cual fue remitido a la Secretaría de Tránsito para revisión, discusión y retroalimentación correspondiente, manteniéndose el intercambio técnico entre las entidades para fortalecer la definición de </w:t>
      </w:r>
      <w:r>
        <w:rPr>
          <w:rFonts w:ascii="Arial Narrow" w:eastAsia="Arial Narrow" w:hAnsi="Arial Narrow" w:cs="Arial Narrow"/>
          <w:sz w:val="24"/>
          <w:szCs w:val="24"/>
        </w:rPr>
        <w:t>los instrumentos administrativos requeridos para la operación del sistema.</w:t>
      </w:r>
    </w:p>
    <w:p w:rsidR="00FF1F16" w:rsidRDefault="00FF1F16">
      <w:pPr>
        <w:jc w:val="both"/>
        <w:rPr>
          <w:rFonts w:ascii="Arial Narrow" w:eastAsia="Arial Narrow" w:hAnsi="Arial Narrow" w:cs="Arial Narrow"/>
          <w:sz w:val="24"/>
          <w:szCs w:val="24"/>
        </w:rPr>
      </w:pPr>
    </w:p>
    <w:p w:rsidR="00FF1F16" w:rsidRDefault="004A6500">
      <w:pPr>
        <w:spacing w:before="240" w:after="240"/>
        <w:jc w:val="both"/>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Resultados obtenidos:</w:t>
      </w:r>
    </w:p>
    <w:p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Como resultado del trabajo técnico adelantado entre la Secretaría de Tránsito y Transporte Municipal y el Ente Gestor, se logró identificar la necesidad de ar</w:t>
      </w:r>
      <w:r>
        <w:rPr>
          <w:rFonts w:ascii="Arial Narrow" w:eastAsia="Arial Narrow" w:hAnsi="Arial Narrow" w:cs="Arial Narrow"/>
          <w:sz w:val="24"/>
          <w:szCs w:val="24"/>
        </w:rPr>
        <w:t xml:space="preserve">monizar los estudios de la Estructuración Técnica, Legal </w:t>
      </w:r>
      <w:r>
        <w:rPr>
          <w:rFonts w:ascii="Arial Narrow" w:eastAsia="Arial Narrow" w:hAnsi="Arial Narrow" w:cs="Arial Narrow"/>
          <w:sz w:val="24"/>
          <w:szCs w:val="24"/>
        </w:rPr>
        <w:lastRenderedPageBreak/>
        <w:t>y Financiera – ETLF y sus actualizaciones con las condiciones actuales de prestación del servicio y del proceso de implementación del SETP.</w:t>
      </w:r>
    </w:p>
    <w:p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rsidR="00FF1F16" w:rsidRDefault="004A6500">
      <w:pPr>
        <w:pBdr>
          <w:top w:val="nil"/>
          <w:left w:val="nil"/>
          <w:bottom w:val="nil"/>
          <w:right w:val="nil"/>
          <w:between w:val="nil"/>
        </w:pBdr>
        <w:spacing w:line="240" w:lineRule="auto"/>
        <w:jc w:val="both"/>
        <w:rPr>
          <w:rFonts w:ascii="Arial Narrow" w:eastAsia="Arial Narrow" w:hAnsi="Arial Narrow" w:cs="Arial Narrow"/>
          <w:color w:val="000000"/>
          <w:sz w:val="24"/>
          <w:szCs w:val="24"/>
        </w:rPr>
      </w:pPr>
      <w:r>
        <w:rPr>
          <w:rFonts w:ascii="Arial Narrow" w:eastAsia="Arial Narrow" w:hAnsi="Arial Narrow" w:cs="Arial Narrow"/>
          <w:sz w:val="24"/>
          <w:szCs w:val="24"/>
        </w:rPr>
        <w:t>Documento</w:t>
      </w:r>
      <w:r>
        <w:rPr>
          <w:rFonts w:ascii="Arial Narrow" w:eastAsia="Arial Narrow" w:hAnsi="Arial Narrow" w:cs="Arial Narrow"/>
          <w:color w:val="000000"/>
          <w:sz w:val="24"/>
          <w:szCs w:val="24"/>
        </w:rPr>
        <w:t xml:space="preserve"> borrador de anexo técnico y presupuesto </w:t>
      </w:r>
      <w:r>
        <w:rPr>
          <w:rFonts w:ascii="Arial Narrow" w:eastAsia="Arial Narrow" w:hAnsi="Arial Narrow" w:cs="Arial Narrow"/>
          <w:sz w:val="24"/>
          <w:szCs w:val="24"/>
        </w:rPr>
        <w:t>para el</w:t>
      </w:r>
      <w:r>
        <w:rPr>
          <w:rFonts w:ascii="Arial Narrow" w:eastAsia="Arial Narrow" w:hAnsi="Arial Narrow" w:cs="Arial Narrow"/>
          <w:sz w:val="24"/>
          <w:szCs w:val="24"/>
        </w:rPr>
        <w:t xml:space="preserve"> estudio de actualización de la ETLF.</w:t>
      </w:r>
    </w:p>
    <w:p w:rsidR="00FF1F16" w:rsidRDefault="00FF1F16">
      <w:pPr>
        <w:spacing w:before="240" w:after="240"/>
        <w:jc w:val="both"/>
        <w:rPr>
          <w:rFonts w:ascii="Arial Narrow" w:eastAsia="Arial Narrow" w:hAnsi="Arial Narrow" w:cs="Arial Narrow"/>
          <w:b/>
          <w:bCs/>
          <w:sz w:val="24"/>
          <w:szCs w:val="24"/>
          <w:u w:val="single"/>
        </w:rPr>
      </w:pPr>
    </w:p>
    <w:p w:rsidR="00FF1F16" w:rsidRDefault="004A6500">
      <w:pPr>
        <w:spacing w:before="240" w:after="240"/>
        <w:jc w:val="both"/>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Plan de trabajo para cada compromiso, con cronograma y actores implicados.</w:t>
      </w:r>
    </w:p>
    <w:tbl>
      <w:tblPr>
        <w:tblStyle w:val="a2"/>
        <w:tblW w:w="8850" w:type="dxa"/>
        <w:jc w:val="cente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4905"/>
        <w:gridCol w:w="1575"/>
        <w:gridCol w:w="2370"/>
      </w:tblGrid>
      <w:tr w:rsidR="00FF1F16">
        <w:trPr>
          <w:trHeight w:val="331"/>
          <w:jc w:val="center"/>
        </w:trPr>
        <w:tc>
          <w:tcPr>
            <w:tcW w:w="4905" w:type="dxa"/>
            <w:shd w:val="clear" w:color="auto" w:fill="D0CECE"/>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b/>
                <w:bCs/>
                <w:color w:val="000000"/>
              </w:rPr>
            </w:pPr>
            <w:r>
              <w:rPr>
                <w:rFonts w:ascii="Arial Narrow" w:eastAsia="Arial Narrow" w:hAnsi="Arial Narrow" w:cs="Arial Narrow"/>
                <w:b/>
                <w:bCs/>
                <w:color w:val="000000"/>
              </w:rPr>
              <w:t>Acción</w:t>
            </w:r>
          </w:p>
        </w:tc>
        <w:tc>
          <w:tcPr>
            <w:tcW w:w="1575" w:type="dxa"/>
            <w:shd w:val="clear" w:color="auto" w:fill="D0CECE"/>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b/>
                <w:bCs/>
                <w:color w:val="000000"/>
              </w:rPr>
            </w:pPr>
            <w:r>
              <w:rPr>
                <w:rFonts w:ascii="Arial Narrow" w:eastAsia="Arial Narrow" w:hAnsi="Arial Narrow" w:cs="Arial Narrow"/>
                <w:b/>
                <w:bCs/>
                <w:color w:val="000000"/>
              </w:rPr>
              <w:t>Responsable</w:t>
            </w:r>
          </w:p>
        </w:tc>
        <w:tc>
          <w:tcPr>
            <w:tcW w:w="2370" w:type="dxa"/>
            <w:shd w:val="clear" w:color="auto" w:fill="D0CECE"/>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b/>
                <w:bCs/>
                <w:color w:val="000000"/>
              </w:rPr>
            </w:pPr>
            <w:r>
              <w:rPr>
                <w:rFonts w:ascii="Arial Narrow" w:eastAsia="Arial Narrow" w:hAnsi="Arial Narrow" w:cs="Arial Narrow"/>
                <w:b/>
                <w:bCs/>
                <w:color w:val="000000"/>
              </w:rPr>
              <w:t>Fecha</w:t>
            </w:r>
          </w:p>
        </w:tc>
      </w:tr>
      <w:tr w:rsidR="00FF1F16">
        <w:trPr>
          <w:trHeight w:val="331"/>
          <w:jc w:val="center"/>
        </w:trPr>
        <w:tc>
          <w:tcPr>
            <w:tcW w:w="4905" w:type="dxa"/>
            <w:vAlign w:val="center"/>
          </w:tcPr>
          <w:p w:rsidR="00FF1F16" w:rsidRDefault="004A6500">
            <w:pPr>
              <w:pBdr>
                <w:top w:val="nil"/>
                <w:left w:val="nil"/>
                <w:bottom w:val="nil"/>
                <w:right w:val="nil"/>
                <w:between w:val="nil"/>
              </w:pBdr>
              <w:spacing w:after="200"/>
              <w:rPr>
                <w:rFonts w:ascii="Arial Narrow" w:eastAsia="Arial Narrow" w:hAnsi="Arial Narrow" w:cs="Arial Narrow"/>
                <w:color w:val="000000"/>
              </w:rPr>
            </w:pPr>
            <w:r>
              <w:rPr>
                <w:rFonts w:ascii="Arial Narrow" w:eastAsia="Arial Narrow" w:hAnsi="Arial Narrow" w:cs="Arial Narrow"/>
                <w:color w:val="000000"/>
              </w:rPr>
              <w:t>Definición de alcance financiero final</w:t>
            </w:r>
          </w:p>
        </w:tc>
        <w:tc>
          <w:tcPr>
            <w:tcW w:w="1575" w:type="dxa"/>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EG</w:t>
            </w:r>
          </w:p>
        </w:tc>
        <w:tc>
          <w:tcPr>
            <w:tcW w:w="2370" w:type="dxa"/>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junio de 2026</w:t>
            </w:r>
          </w:p>
        </w:tc>
      </w:tr>
      <w:tr w:rsidR="00FF1F16">
        <w:trPr>
          <w:trHeight w:val="524"/>
          <w:jc w:val="center"/>
        </w:trPr>
        <w:tc>
          <w:tcPr>
            <w:tcW w:w="4905" w:type="dxa"/>
            <w:vAlign w:val="center"/>
          </w:tcPr>
          <w:p w:rsidR="00FF1F16" w:rsidRDefault="004A6500">
            <w:pPr>
              <w:pBdr>
                <w:top w:val="nil"/>
                <w:left w:val="nil"/>
                <w:bottom w:val="nil"/>
                <w:right w:val="nil"/>
                <w:between w:val="nil"/>
              </w:pBdr>
              <w:spacing w:after="200"/>
              <w:rPr>
                <w:rFonts w:ascii="Arial Narrow" w:eastAsia="Arial Narrow" w:hAnsi="Arial Narrow" w:cs="Arial Narrow"/>
                <w:color w:val="000000"/>
              </w:rPr>
            </w:pPr>
            <w:r>
              <w:rPr>
                <w:rFonts w:ascii="Arial Narrow" w:eastAsia="Arial Narrow" w:hAnsi="Arial Narrow" w:cs="Arial Narrow"/>
                <w:color w:val="000000"/>
              </w:rPr>
              <w:t>Viabilidad financiera y traslado de recursos por parte de la STMM</w:t>
            </w:r>
          </w:p>
        </w:tc>
        <w:tc>
          <w:tcPr>
            <w:tcW w:w="1575" w:type="dxa"/>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STTM</w:t>
            </w:r>
          </w:p>
        </w:tc>
        <w:tc>
          <w:tcPr>
            <w:tcW w:w="2370" w:type="dxa"/>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junio de 2026</w:t>
            </w:r>
          </w:p>
        </w:tc>
      </w:tr>
      <w:tr w:rsidR="00FF1F16">
        <w:trPr>
          <w:trHeight w:val="331"/>
          <w:jc w:val="center"/>
        </w:trPr>
        <w:tc>
          <w:tcPr>
            <w:tcW w:w="4905" w:type="dxa"/>
            <w:vAlign w:val="center"/>
          </w:tcPr>
          <w:p w:rsidR="00FF1F16" w:rsidRDefault="004A6500">
            <w:pPr>
              <w:pBdr>
                <w:top w:val="nil"/>
                <w:left w:val="nil"/>
                <w:bottom w:val="nil"/>
                <w:right w:val="nil"/>
                <w:between w:val="nil"/>
              </w:pBdr>
              <w:spacing w:after="200"/>
              <w:rPr>
                <w:rFonts w:ascii="Arial Narrow" w:eastAsia="Arial Narrow" w:hAnsi="Arial Narrow" w:cs="Arial Narrow"/>
                <w:color w:val="000000"/>
              </w:rPr>
            </w:pPr>
            <w:r>
              <w:rPr>
                <w:rFonts w:ascii="Arial Narrow" w:eastAsia="Arial Narrow" w:hAnsi="Arial Narrow" w:cs="Arial Narrow"/>
                <w:color w:val="000000"/>
              </w:rPr>
              <w:t>Estudios previos</w:t>
            </w:r>
          </w:p>
        </w:tc>
        <w:tc>
          <w:tcPr>
            <w:tcW w:w="1575" w:type="dxa"/>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EG</w:t>
            </w:r>
          </w:p>
        </w:tc>
        <w:tc>
          <w:tcPr>
            <w:tcW w:w="2370" w:type="dxa"/>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julio de 2026</w:t>
            </w:r>
          </w:p>
        </w:tc>
      </w:tr>
      <w:tr w:rsidR="00FF1F16">
        <w:trPr>
          <w:trHeight w:val="319"/>
          <w:jc w:val="center"/>
        </w:trPr>
        <w:tc>
          <w:tcPr>
            <w:tcW w:w="4905" w:type="dxa"/>
            <w:vAlign w:val="center"/>
          </w:tcPr>
          <w:p w:rsidR="00FF1F16" w:rsidRDefault="004A6500">
            <w:pPr>
              <w:pBdr>
                <w:top w:val="nil"/>
                <w:left w:val="nil"/>
                <w:bottom w:val="nil"/>
                <w:right w:val="nil"/>
                <w:between w:val="nil"/>
              </w:pBdr>
              <w:spacing w:after="200"/>
              <w:rPr>
                <w:rFonts w:ascii="Arial Narrow" w:eastAsia="Arial Narrow" w:hAnsi="Arial Narrow" w:cs="Arial Narrow"/>
                <w:color w:val="000000"/>
              </w:rPr>
            </w:pPr>
            <w:r>
              <w:rPr>
                <w:rFonts w:ascii="Arial Narrow" w:eastAsia="Arial Narrow" w:hAnsi="Arial Narrow" w:cs="Arial Narrow"/>
                <w:color w:val="000000"/>
              </w:rPr>
              <w:t>Consultoría</w:t>
            </w:r>
          </w:p>
        </w:tc>
        <w:tc>
          <w:tcPr>
            <w:tcW w:w="1575" w:type="dxa"/>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EG</w:t>
            </w:r>
          </w:p>
        </w:tc>
        <w:tc>
          <w:tcPr>
            <w:tcW w:w="2370" w:type="dxa"/>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Agosto-noviembre de 2026</w:t>
            </w:r>
          </w:p>
        </w:tc>
      </w:tr>
      <w:tr w:rsidR="00FF1F16">
        <w:trPr>
          <w:trHeight w:val="331"/>
          <w:jc w:val="center"/>
        </w:trPr>
        <w:tc>
          <w:tcPr>
            <w:tcW w:w="4905" w:type="dxa"/>
            <w:vAlign w:val="center"/>
          </w:tcPr>
          <w:p w:rsidR="00FF1F16" w:rsidRDefault="004A6500">
            <w:pPr>
              <w:pBdr>
                <w:top w:val="nil"/>
                <w:left w:val="nil"/>
                <w:bottom w:val="nil"/>
                <w:right w:val="nil"/>
                <w:between w:val="nil"/>
              </w:pBdr>
              <w:spacing w:after="200"/>
              <w:rPr>
                <w:rFonts w:ascii="Arial Narrow" w:eastAsia="Arial Narrow" w:hAnsi="Arial Narrow" w:cs="Arial Narrow"/>
                <w:color w:val="000000"/>
              </w:rPr>
            </w:pPr>
            <w:r>
              <w:rPr>
                <w:rFonts w:ascii="Arial Narrow" w:eastAsia="Arial Narrow" w:hAnsi="Arial Narrow" w:cs="Arial Narrow"/>
                <w:color w:val="000000"/>
              </w:rPr>
              <w:t>Resultados</w:t>
            </w:r>
          </w:p>
        </w:tc>
        <w:tc>
          <w:tcPr>
            <w:tcW w:w="1575" w:type="dxa"/>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EG</w:t>
            </w:r>
          </w:p>
        </w:tc>
        <w:tc>
          <w:tcPr>
            <w:tcW w:w="2370" w:type="dxa"/>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rPr>
              <w:t xml:space="preserve">Diciembre </w:t>
            </w:r>
            <w:r>
              <w:rPr>
                <w:rFonts w:ascii="Arial Narrow" w:eastAsia="Arial Narrow" w:hAnsi="Arial Narrow" w:cs="Arial Narrow"/>
                <w:color w:val="000000"/>
              </w:rPr>
              <w:t>de 2026</w:t>
            </w:r>
          </w:p>
        </w:tc>
      </w:tr>
      <w:tr w:rsidR="00FF1F16">
        <w:trPr>
          <w:trHeight w:val="331"/>
          <w:jc w:val="center"/>
        </w:trPr>
        <w:tc>
          <w:tcPr>
            <w:tcW w:w="4905" w:type="dxa"/>
            <w:vAlign w:val="center"/>
          </w:tcPr>
          <w:p w:rsidR="00FF1F16" w:rsidRDefault="004A6500">
            <w:pPr>
              <w:pBdr>
                <w:top w:val="nil"/>
                <w:left w:val="nil"/>
                <w:bottom w:val="nil"/>
                <w:right w:val="nil"/>
                <w:between w:val="nil"/>
              </w:pBdr>
              <w:spacing w:after="200"/>
              <w:rPr>
                <w:rFonts w:ascii="Arial Narrow" w:eastAsia="Arial Narrow" w:hAnsi="Arial Narrow" w:cs="Arial Narrow"/>
                <w:color w:val="000000"/>
              </w:rPr>
            </w:pPr>
            <w:r>
              <w:rPr>
                <w:rFonts w:ascii="Arial Narrow" w:eastAsia="Arial Narrow" w:hAnsi="Arial Narrow" w:cs="Arial Narrow"/>
                <w:color w:val="000000"/>
              </w:rPr>
              <w:t>Actualización de actos administrativos</w:t>
            </w:r>
          </w:p>
        </w:tc>
        <w:tc>
          <w:tcPr>
            <w:tcW w:w="1575" w:type="dxa"/>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EG</w:t>
            </w:r>
          </w:p>
        </w:tc>
        <w:tc>
          <w:tcPr>
            <w:tcW w:w="2370" w:type="dxa"/>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proofErr w:type="gramStart"/>
            <w:r>
              <w:rPr>
                <w:rFonts w:ascii="Arial Narrow" w:eastAsia="Arial Narrow" w:hAnsi="Arial Narrow" w:cs="Arial Narrow"/>
              </w:rPr>
              <w:t xml:space="preserve">Diciembre </w:t>
            </w:r>
            <w:r>
              <w:rPr>
                <w:rFonts w:ascii="Arial Narrow" w:eastAsia="Arial Narrow" w:hAnsi="Arial Narrow" w:cs="Arial Narrow"/>
                <w:color w:val="000000"/>
              </w:rPr>
              <w:t xml:space="preserve"> de</w:t>
            </w:r>
            <w:proofErr w:type="gramEnd"/>
            <w:r>
              <w:rPr>
                <w:rFonts w:ascii="Arial Narrow" w:eastAsia="Arial Narrow" w:hAnsi="Arial Narrow" w:cs="Arial Narrow"/>
                <w:color w:val="000000"/>
              </w:rPr>
              <w:t xml:space="preserve"> 2026</w:t>
            </w:r>
          </w:p>
        </w:tc>
      </w:tr>
      <w:tr w:rsidR="00FF1F16">
        <w:trPr>
          <w:trHeight w:val="319"/>
          <w:jc w:val="center"/>
        </w:trPr>
        <w:tc>
          <w:tcPr>
            <w:tcW w:w="4905" w:type="dxa"/>
            <w:vAlign w:val="center"/>
          </w:tcPr>
          <w:p w:rsidR="00FF1F16" w:rsidRDefault="004A6500">
            <w:pPr>
              <w:pBdr>
                <w:top w:val="nil"/>
                <w:left w:val="nil"/>
                <w:bottom w:val="nil"/>
                <w:right w:val="nil"/>
                <w:between w:val="nil"/>
              </w:pBdr>
              <w:spacing w:after="200"/>
              <w:rPr>
                <w:rFonts w:ascii="Arial Narrow" w:eastAsia="Arial Narrow" w:hAnsi="Arial Narrow" w:cs="Arial Narrow"/>
                <w:color w:val="000000"/>
              </w:rPr>
            </w:pPr>
            <w:r>
              <w:rPr>
                <w:rFonts w:ascii="Arial Narrow" w:eastAsia="Arial Narrow" w:hAnsi="Arial Narrow" w:cs="Arial Narrow"/>
                <w:color w:val="000000"/>
              </w:rPr>
              <w:t>Expedición de actos administrativos</w:t>
            </w:r>
          </w:p>
        </w:tc>
        <w:tc>
          <w:tcPr>
            <w:tcW w:w="1575" w:type="dxa"/>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color w:val="000000"/>
              </w:rPr>
              <w:t>STTM</w:t>
            </w:r>
          </w:p>
        </w:tc>
        <w:tc>
          <w:tcPr>
            <w:tcW w:w="2370" w:type="dxa"/>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color w:val="000000"/>
              </w:rPr>
            </w:pPr>
            <w:r>
              <w:rPr>
                <w:rFonts w:ascii="Arial Narrow" w:eastAsia="Arial Narrow" w:hAnsi="Arial Narrow" w:cs="Arial Narrow"/>
              </w:rPr>
              <w:t xml:space="preserve">Diciembre </w:t>
            </w:r>
            <w:r>
              <w:rPr>
                <w:rFonts w:ascii="Arial Narrow" w:eastAsia="Arial Narrow" w:hAnsi="Arial Narrow" w:cs="Arial Narrow"/>
                <w:color w:val="000000"/>
              </w:rPr>
              <w:t>de 2026</w:t>
            </w:r>
          </w:p>
        </w:tc>
      </w:tr>
    </w:tbl>
    <w:p w:rsidR="00FF1F16" w:rsidRDefault="00FF1F16">
      <w:pPr>
        <w:rPr>
          <w:rFonts w:ascii="Arial Narrow" w:eastAsia="Arial Narrow" w:hAnsi="Arial Narrow" w:cs="Arial Narrow"/>
        </w:rPr>
      </w:pPr>
    </w:p>
    <w:p w:rsidR="00FF1F16" w:rsidRDefault="004A6500">
      <w:pPr>
        <w:spacing w:before="240" w:after="240"/>
        <w:jc w:val="both"/>
        <w:rPr>
          <w:rFonts w:ascii="Arial Narrow" w:eastAsia="Arial Narrow" w:hAnsi="Arial Narrow" w:cs="Arial Narrow"/>
          <w:sz w:val="24"/>
          <w:szCs w:val="24"/>
        </w:rPr>
      </w:pPr>
      <w:r>
        <w:rPr>
          <w:rFonts w:ascii="Arial Narrow" w:eastAsia="Arial Narrow" w:hAnsi="Arial Narrow" w:cs="Arial Narrow"/>
          <w:b/>
          <w:bCs/>
          <w:sz w:val="24"/>
          <w:szCs w:val="24"/>
          <w:u w:val="single"/>
        </w:rPr>
        <w:t>Propuesta de reprogramación de fechas:</w:t>
      </w:r>
      <w:r>
        <w:rPr>
          <w:rFonts w:ascii="Arial Narrow" w:eastAsia="Arial Narrow" w:hAnsi="Arial Narrow" w:cs="Arial Narrow"/>
          <w:b/>
          <w:bCs/>
          <w:sz w:val="24"/>
          <w:szCs w:val="24"/>
        </w:rPr>
        <w:t xml:space="preserve"> </w:t>
      </w:r>
      <w:r>
        <w:rPr>
          <w:rFonts w:ascii="Arial Narrow" w:eastAsia="Arial Narrow" w:hAnsi="Arial Narrow" w:cs="Arial Narrow"/>
          <w:sz w:val="24"/>
          <w:szCs w:val="24"/>
        </w:rPr>
        <w:t xml:space="preserve"> </w:t>
      </w:r>
      <w:proofErr w:type="gramStart"/>
      <w:r>
        <w:rPr>
          <w:rFonts w:ascii="Arial Narrow" w:eastAsia="Arial Narrow" w:hAnsi="Arial Narrow" w:cs="Arial Narrow"/>
          <w:sz w:val="24"/>
          <w:szCs w:val="24"/>
        </w:rPr>
        <w:t>Diciembre</w:t>
      </w:r>
      <w:proofErr w:type="gramEnd"/>
      <w:r>
        <w:rPr>
          <w:rFonts w:ascii="Arial Narrow" w:eastAsia="Arial Narrow" w:hAnsi="Arial Narrow" w:cs="Arial Narrow"/>
          <w:sz w:val="24"/>
          <w:szCs w:val="24"/>
        </w:rPr>
        <w:t xml:space="preserve"> de 2026</w:t>
      </w:r>
    </w:p>
    <w:p w:rsidR="00FF1F16" w:rsidRDefault="00FF1F16">
      <w:pPr>
        <w:rPr>
          <w:rFonts w:ascii="Arial Narrow" w:eastAsia="Arial Narrow" w:hAnsi="Arial Narrow" w:cs="Arial Narrow"/>
          <w:sz w:val="24"/>
          <w:szCs w:val="24"/>
        </w:rPr>
      </w:pPr>
    </w:p>
    <w:p w:rsidR="00FF1F16" w:rsidRDefault="00FF1F16">
      <w:pPr>
        <w:rPr>
          <w:rFonts w:ascii="Arial Narrow" w:eastAsia="Arial Narrow" w:hAnsi="Arial Narrow" w:cs="Arial Narrow"/>
          <w:sz w:val="24"/>
          <w:szCs w:val="24"/>
        </w:rPr>
      </w:pPr>
    </w:p>
    <w:p w:rsidR="00FF1F16" w:rsidRDefault="004A6500">
      <w:pPr>
        <w:rPr>
          <w:rFonts w:ascii="Arial Narrow" w:eastAsia="Arial Narrow" w:hAnsi="Arial Narrow" w:cs="Arial Narrow"/>
          <w:b/>
          <w:bCs/>
          <w:sz w:val="24"/>
          <w:szCs w:val="24"/>
        </w:rPr>
      </w:pPr>
      <w:r>
        <w:rPr>
          <w:rFonts w:ascii="Arial Narrow" w:eastAsia="Arial Narrow" w:hAnsi="Arial Narrow" w:cs="Arial Narrow"/>
          <w:b/>
          <w:bCs/>
          <w:color w:val="000000"/>
          <w:sz w:val="24"/>
          <w:szCs w:val="24"/>
        </w:rPr>
        <w:t>4.TERMINAR EL PROCESO DE IMPLEMENTACIÓN TECNOLÓGICA DEL SETP</w:t>
      </w:r>
    </w:p>
    <w:p w:rsidR="00FF1F16" w:rsidRDefault="004A6500">
      <w:pPr>
        <w:rPr>
          <w:rFonts w:ascii="Arial Narrow" w:eastAsia="Arial Narrow" w:hAnsi="Arial Narrow" w:cs="Arial Narrow"/>
          <w:sz w:val="24"/>
          <w:szCs w:val="24"/>
        </w:rPr>
      </w:pPr>
      <w:r>
        <w:rPr>
          <w:rFonts w:ascii="Arial Narrow" w:eastAsia="Arial Narrow" w:hAnsi="Arial Narrow" w:cs="Arial Narrow"/>
          <w:b/>
          <w:bCs/>
          <w:sz w:val="24"/>
          <w:szCs w:val="24"/>
        </w:rPr>
        <w:t>Compromiso 1:</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Cerrar técnica, legal y financieramente el contrato tecnológico.</w:t>
      </w:r>
    </w:p>
    <w:p w:rsidR="00FF1F16" w:rsidRDefault="004A6500">
      <w:pPr>
        <w:rPr>
          <w:rFonts w:ascii="Arial Narrow" w:eastAsia="Arial Narrow" w:hAnsi="Arial Narrow" w:cs="Arial Narrow"/>
          <w:b/>
          <w:bCs/>
          <w:sz w:val="24"/>
          <w:szCs w:val="24"/>
        </w:rPr>
      </w:pPr>
      <w:r>
        <w:rPr>
          <w:rFonts w:ascii="Arial Narrow" w:eastAsia="Arial Narrow" w:hAnsi="Arial Narrow" w:cs="Arial Narrow"/>
          <w:b/>
          <w:bCs/>
          <w:sz w:val="24"/>
          <w:szCs w:val="24"/>
        </w:rPr>
        <w:t>Responsable Principal:</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Ente Gestor</w:t>
      </w:r>
    </w:p>
    <w:p w:rsidR="00FF1F16" w:rsidRDefault="004A6500">
      <w:pPr>
        <w:rPr>
          <w:rFonts w:ascii="Arial Narrow" w:eastAsia="Arial Narrow" w:hAnsi="Arial Narrow" w:cs="Arial Narrow"/>
          <w:sz w:val="24"/>
          <w:szCs w:val="24"/>
        </w:rPr>
      </w:pPr>
      <w:r>
        <w:rPr>
          <w:rFonts w:ascii="Arial Narrow" w:eastAsia="Arial Narrow" w:hAnsi="Arial Narrow" w:cs="Arial Narrow"/>
          <w:b/>
          <w:bCs/>
          <w:sz w:val="24"/>
          <w:szCs w:val="24"/>
        </w:rPr>
        <w:t>Fecha Límite del memorando:</w:t>
      </w:r>
      <w:r>
        <w:rPr>
          <w:rFonts w:ascii="Arial Narrow" w:eastAsia="Arial Narrow" w:hAnsi="Arial Narrow" w:cs="Arial Narrow"/>
          <w:sz w:val="24"/>
          <w:szCs w:val="24"/>
        </w:rPr>
        <w:t xml:space="preserve"> junio 2026</w:t>
      </w:r>
    </w:p>
    <w:p w:rsidR="00FF1F16" w:rsidRDefault="00FF1F16">
      <w:pPr>
        <w:rPr>
          <w:rFonts w:ascii="Arial Narrow" w:eastAsia="Arial Narrow" w:hAnsi="Arial Narrow" w:cs="Arial Narrow"/>
          <w:sz w:val="24"/>
          <w:szCs w:val="24"/>
        </w:rPr>
      </w:pPr>
    </w:p>
    <w:p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sz w:val="24"/>
          <w:szCs w:val="24"/>
        </w:rPr>
        <w:t>Compromiso 2:</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Garantizar la instalación del 60% de la tecnología de recaudo y el funcionamiento del SGCF.</w:t>
      </w:r>
    </w:p>
    <w:p w:rsidR="00FF1F16" w:rsidRDefault="004A6500">
      <w:pPr>
        <w:rPr>
          <w:rFonts w:ascii="Arial Narrow" w:eastAsia="Arial Narrow" w:hAnsi="Arial Narrow" w:cs="Arial Narrow"/>
          <w:b/>
          <w:bCs/>
          <w:sz w:val="24"/>
          <w:szCs w:val="24"/>
        </w:rPr>
      </w:pPr>
      <w:r>
        <w:rPr>
          <w:rFonts w:ascii="Arial Narrow" w:eastAsia="Arial Narrow" w:hAnsi="Arial Narrow" w:cs="Arial Narrow"/>
          <w:b/>
          <w:bCs/>
          <w:sz w:val="24"/>
          <w:szCs w:val="24"/>
        </w:rPr>
        <w:t>Responsable Principal:</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Ente Gestor</w:t>
      </w:r>
    </w:p>
    <w:p w:rsidR="00FF1F16" w:rsidRDefault="004A6500">
      <w:pPr>
        <w:rPr>
          <w:rFonts w:ascii="Arial Narrow" w:eastAsia="Arial Narrow" w:hAnsi="Arial Narrow" w:cs="Arial Narrow"/>
          <w:sz w:val="24"/>
          <w:szCs w:val="24"/>
        </w:rPr>
      </w:pPr>
      <w:r>
        <w:rPr>
          <w:rFonts w:ascii="Arial Narrow" w:eastAsia="Arial Narrow" w:hAnsi="Arial Narrow" w:cs="Arial Narrow"/>
          <w:b/>
          <w:bCs/>
          <w:sz w:val="24"/>
          <w:szCs w:val="24"/>
        </w:rPr>
        <w:lastRenderedPageBreak/>
        <w:t>Fecha Límite:</w:t>
      </w:r>
      <w:r>
        <w:rPr>
          <w:rFonts w:ascii="Arial Narrow" w:eastAsia="Arial Narrow" w:hAnsi="Arial Narrow" w:cs="Arial Narrow"/>
          <w:sz w:val="24"/>
          <w:szCs w:val="24"/>
        </w:rPr>
        <w:t xml:space="preserve"> enero 2026 (se debe corregir fecha, es enero 2027)</w:t>
      </w:r>
    </w:p>
    <w:p w:rsidR="00FF1F16" w:rsidRDefault="00FF1F16">
      <w:pPr>
        <w:rPr>
          <w:rFonts w:ascii="Arial Narrow" w:eastAsia="Arial Narrow" w:hAnsi="Arial Narrow" w:cs="Arial Narrow"/>
          <w:sz w:val="24"/>
          <w:szCs w:val="24"/>
        </w:rPr>
      </w:pPr>
    </w:p>
    <w:p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sz w:val="24"/>
          <w:szCs w:val="24"/>
        </w:rPr>
        <w:t>Compromiso 3:</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Garantizar la instalación del 100% de la tecnología de recaudo.</w:t>
      </w:r>
    </w:p>
    <w:p w:rsidR="00FF1F16" w:rsidRDefault="004A6500">
      <w:pPr>
        <w:rPr>
          <w:rFonts w:ascii="Arial Narrow" w:eastAsia="Arial Narrow" w:hAnsi="Arial Narrow" w:cs="Arial Narrow"/>
          <w:b/>
          <w:bCs/>
          <w:sz w:val="24"/>
          <w:szCs w:val="24"/>
        </w:rPr>
      </w:pPr>
      <w:r>
        <w:rPr>
          <w:rFonts w:ascii="Arial Narrow" w:eastAsia="Arial Narrow" w:hAnsi="Arial Narrow" w:cs="Arial Narrow"/>
          <w:b/>
          <w:bCs/>
          <w:sz w:val="24"/>
          <w:szCs w:val="24"/>
        </w:rPr>
        <w:t>Responsable Principal:</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Ente Gestor</w:t>
      </w:r>
    </w:p>
    <w:p w:rsidR="00FF1F16" w:rsidRDefault="004A6500">
      <w:pPr>
        <w:rPr>
          <w:rFonts w:ascii="Arial Narrow" w:eastAsia="Arial Narrow" w:hAnsi="Arial Narrow" w:cs="Arial Narrow"/>
          <w:sz w:val="24"/>
          <w:szCs w:val="24"/>
        </w:rPr>
      </w:pPr>
      <w:r>
        <w:rPr>
          <w:rFonts w:ascii="Arial Narrow" w:eastAsia="Arial Narrow" w:hAnsi="Arial Narrow" w:cs="Arial Narrow"/>
          <w:b/>
          <w:bCs/>
          <w:sz w:val="24"/>
          <w:szCs w:val="24"/>
        </w:rPr>
        <w:t>Fecha Límite:</w:t>
      </w:r>
      <w:r>
        <w:rPr>
          <w:rFonts w:ascii="Arial Narrow" w:eastAsia="Arial Narrow" w:hAnsi="Arial Narrow" w:cs="Arial Narrow"/>
          <w:sz w:val="24"/>
          <w:szCs w:val="24"/>
        </w:rPr>
        <w:t xml:space="preserve"> diciembre 2026 </w:t>
      </w:r>
    </w:p>
    <w:p w:rsidR="00FF1F16" w:rsidRDefault="00FF1F16">
      <w:pPr>
        <w:rPr>
          <w:rFonts w:ascii="Arial Narrow" w:eastAsia="Arial Narrow" w:hAnsi="Arial Narrow" w:cs="Arial Narrow"/>
          <w:color w:val="000000"/>
          <w:sz w:val="24"/>
          <w:szCs w:val="24"/>
        </w:rPr>
      </w:pPr>
    </w:p>
    <w:p w:rsidR="00FF1F16" w:rsidRDefault="00FF1F16">
      <w:pPr>
        <w:rPr>
          <w:rFonts w:ascii="Arial Narrow" w:eastAsia="Arial Narrow" w:hAnsi="Arial Narrow" w:cs="Arial Narrow"/>
          <w:b/>
          <w:bCs/>
          <w:sz w:val="24"/>
          <w:szCs w:val="24"/>
          <w:u w:val="single"/>
        </w:rPr>
      </w:pPr>
    </w:p>
    <w:p w:rsidR="00FF1F16" w:rsidRDefault="004A6500">
      <w:pPr>
        <w:rPr>
          <w:rFonts w:ascii="Arial Narrow" w:eastAsia="Arial Narrow" w:hAnsi="Arial Narrow" w:cs="Arial Narrow"/>
          <w:sz w:val="24"/>
          <w:szCs w:val="24"/>
          <w:u w:val="single"/>
        </w:rPr>
      </w:pPr>
      <w:r>
        <w:rPr>
          <w:rFonts w:ascii="Arial Narrow" w:eastAsia="Arial Narrow" w:hAnsi="Arial Narrow" w:cs="Arial Narrow"/>
          <w:b/>
          <w:bCs/>
          <w:sz w:val="24"/>
          <w:szCs w:val="24"/>
          <w:u w:val="single"/>
        </w:rPr>
        <w:t>Acciones a</w:t>
      </w:r>
      <w:r>
        <w:rPr>
          <w:rFonts w:ascii="Arial Narrow" w:eastAsia="Arial Narrow" w:hAnsi="Arial Narrow" w:cs="Arial Narrow"/>
          <w:b/>
          <w:bCs/>
          <w:sz w:val="24"/>
          <w:szCs w:val="24"/>
          <w:u w:val="single"/>
        </w:rPr>
        <w:t>delantadas</w:t>
      </w:r>
      <w:r>
        <w:rPr>
          <w:rFonts w:ascii="Arial Narrow" w:eastAsia="Arial Narrow" w:hAnsi="Arial Narrow" w:cs="Arial Narrow"/>
          <w:sz w:val="24"/>
          <w:szCs w:val="24"/>
          <w:u w:val="single"/>
        </w:rPr>
        <w:t xml:space="preserve"> </w:t>
      </w:r>
    </w:p>
    <w:p w:rsidR="00FF1F16" w:rsidRDefault="00FF1F16">
      <w:pPr>
        <w:jc w:val="both"/>
        <w:rPr>
          <w:rFonts w:ascii="Arial Narrow" w:eastAsia="Arial Narrow" w:hAnsi="Arial Narrow" w:cs="Arial Narrow"/>
          <w:sz w:val="24"/>
          <w:szCs w:val="24"/>
        </w:rPr>
      </w:pPr>
    </w:p>
    <w:p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 xml:space="preserve">Con el fin de consolidar la fase final del componente tecnológico del SETP, el ente gestor garantiza la continuidad técnica y contractual del Contrato No. 246 de 2023 (SRC, SGCF y SIU). En línea con la hoja de ruta para resolver la Problemática Nro. 1 del </w:t>
      </w:r>
      <w:r>
        <w:rPr>
          <w:rFonts w:ascii="Arial Narrow" w:eastAsia="Arial Narrow" w:hAnsi="Arial Narrow" w:cs="Arial Narrow"/>
          <w:sz w:val="24"/>
          <w:szCs w:val="24"/>
        </w:rPr>
        <w:t>Memorando de Entendimiento, la ruta crítica exige, como condición habilitante e indispensable, la incorporación de la interventoría ITS. Este paso es necesario para dar estricto cumplimiento al artículo 172 de la Ley 2294 de 2023, para la verificación y pu</w:t>
      </w:r>
      <w:r>
        <w:rPr>
          <w:rFonts w:ascii="Arial Narrow" w:eastAsia="Arial Narrow" w:hAnsi="Arial Narrow" w:cs="Arial Narrow"/>
          <w:sz w:val="24"/>
          <w:szCs w:val="24"/>
        </w:rPr>
        <w:t>esta en marcha de sistemas inteligentes de transporte.</w:t>
      </w:r>
    </w:p>
    <w:p w:rsidR="00FF1F16" w:rsidRDefault="00FF1F16">
      <w:pPr>
        <w:pBdr>
          <w:top w:val="nil"/>
          <w:left w:val="nil"/>
          <w:bottom w:val="nil"/>
          <w:right w:val="nil"/>
          <w:between w:val="nil"/>
        </w:pBdr>
        <w:jc w:val="both"/>
        <w:rPr>
          <w:rFonts w:ascii="Arial Narrow" w:eastAsia="Arial Narrow" w:hAnsi="Arial Narrow" w:cs="Arial Narrow"/>
          <w:sz w:val="24"/>
          <w:szCs w:val="24"/>
        </w:rPr>
      </w:pPr>
    </w:p>
    <w:p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Se ha realizado el seguimiento continuo a la ejecución del contrato y al estado de los equipos tecnológicos, incluidos los kits a bordo ya nacionalizados. Esto incluye la planeación de las actuaciones necesarias para su futura instalación y puesta en march</w:t>
      </w:r>
      <w:r>
        <w:rPr>
          <w:rFonts w:ascii="Arial Narrow" w:eastAsia="Arial Narrow" w:hAnsi="Arial Narrow" w:cs="Arial Narrow"/>
          <w:sz w:val="24"/>
          <w:szCs w:val="24"/>
        </w:rPr>
        <w:t xml:space="preserve">a, una vez se consolide el acompañamiento de la interventoría correspondiente. </w:t>
      </w:r>
    </w:p>
    <w:p w:rsidR="00FF1F16" w:rsidRDefault="00FF1F16">
      <w:pPr>
        <w:pBdr>
          <w:top w:val="nil"/>
          <w:left w:val="nil"/>
          <w:bottom w:val="nil"/>
          <w:right w:val="nil"/>
          <w:between w:val="nil"/>
        </w:pBdr>
        <w:jc w:val="both"/>
        <w:rPr>
          <w:rFonts w:ascii="Arial Narrow" w:eastAsia="Arial Narrow" w:hAnsi="Arial Narrow" w:cs="Arial Narrow"/>
          <w:sz w:val="24"/>
          <w:szCs w:val="24"/>
        </w:rPr>
      </w:pPr>
    </w:p>
    <w:p w:rsidR="00FF1F16" w:rsidRDefault="004A6500">
      <w:pPr>
        <w:spacing w:before="240" w:after="240"/>
        <w:jc w:val="both"/>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Resultados obtenidos:</w:t>
      </w:r>
    </w:p>
    <w:p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Como resultado de las actuaciones adelantadas, el Ente Gestor cuenta con el contrato No. 246 de 2023 vigente y estructurado para la implementación de los</w:t>
      </w:r>
      <w:r>
        <w:rPr>
          <w:rFonts w:ascii="Arial Narrow" w:eastAsia="Arial Narrow" w:hAnsi="Arial Narrow" w:cs="Arial Narrow"/>
          <w:sz w:val="24"/>
          <w:szCs w:val="24"/>
        </w:rPr>
        <w:t xml:space="preserve"> componentes tecnológicos del SETP, incluyendo recaudo centralizado, control y gestión de flota e información al usuario, constituyéndose en el instrumento contractual que soporta la modernización tecnológica del sistema.</w:t>
      </w:r>
    </w:p>
    <w:p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Igualmente, se cuenta con aproxi</w:t>
      </w:r>
      <w:r>
        <w:rPr>
          <w:rFonts w:ascii="Arial Narrow" w:eastAsia="Arial Narrow" w:hAnsi="Arial Narrow" w:cs="Arial Narrow"/>
          <w:sz w:val="24"/>
          <w:szCs w:val="24"/>
        </w:rPr>
        <w:t>madamente 200 kits de equipos a bordo nacionalizados en la ciudad de Bogotá en ejecución del contrato tecnológico, los cuales se encuentran disponibles para su instalación y puesta en funcionamiento dentro del proceso de implementación.</w:t>
      </w:r>
    </w:p>
    <w:p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Durante el desarr</w:t>
      </w:r>
      <w:r>
        <w:rPr>
          <w:rFonts w:ascii="Arial Narrow" w:eastAsia="Arial Narrow" w:hAnsi="Arial Narrow" w:cs="Arial Narrow"/>
          <w:sz w:val="24"/>
          <w:szCs w:val="24"/>
        </w:rPr>
        <w:t>ollo del proceso se presentaron dilaciones asociadas a la necesidad de consolidar el acompañamiento de la interventoría ITS y a los resultados de los procesos de selección adelantados para su contratación, situación que ha incidido en la ejecución del cont</w:t>
      </w:r>
      <w:r>
        <w:rPr>
          <w:rFonts w:ascii="Arial Narrow" w:eastAsia="Arial Narrow" w:hAnsi="Arial Narrow" w:cs="Arial Narrow"/>
          <w:sz w:val="24"/>
          <w:szCs w:val="24"/>
        </w:rPr>
        <w:t>rato tecnológico y en la programación de actividades relacionadas con la instalación y operación de los sistemas.</w:t>
      </w:r>
    </w:p>
    <w:p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rPr>
        <w:lastRenderedPageBreak/>
        <w:t xml:space="preserve"> </w:t>
      </w:r>
    </w:p>
    <w:p w:rsidR="00FF1F16" w:rsidRDefault="004A6500">
      <w:pPr>
        <w:pBdr>
          <w:top w:val="nil"/>
          <w:left w:val="nil"/>
          <w:bottom w:val="nil"/>
          <w:right w:val="nil"/>
          <w:between w:val="nil"/>
        </w:pBdr>
        <w:jc w:val="both"/>
        <w:rPr>
          <w:rFonts w:ascii="Arial Narrow" w:eastAsia="Arial Narrow" w:hAnsi="Arial Narrow" w:cs="Arial Narrow"/>
          <w:sz w:val="26"/>
          <w:szCs w:val="26"/>
        </w:rPr>
      </w:pPr>
      <w:r>
        <w:rPr>
          <w:rFonts w:ascii="Arial Narrow" w:eastAsia="Arial Narrow" w:hAnsi="Arial Narrow" w:cs="Arial Narrow"/>
          <w:sz w:val="24"/>
          <w:szCs w:val="24"/>
        </w:rPr>
        <w:t>En este sentido, la interventoría tecnológica constituye una condición habilitante para avanzar en el cierre técnico, legal y financiero del</w:t>
      </w:r>
      <w:r>
        <w:rPr>
          <w:rFonts w:ascii="Arial Narrow" w:eastAsia="Arial Narrow" w:hAnsi="Arial Narrow" w:cs="Arial Narrow"/>
          <w:sz w:val="24"/>
          <w:szCs w:val="24"/>
        </w:rPr>
        <w:t xml:space="preserve"> contrato 246 de 2023 y en la instalación, verificación y funcionamiento de los componentes SGCF, SRC y SIU, razón por la cual el Ente Gestor man</w:t>
      </w:r>
      <w:r>
        <w:rPr>
          <w:rFonts w:ascii="Arial Narrow" w:eastAsia="Arial Narrow" w:hAnsi="Arial Narrow" w:cs="Arial Narrow"/>
          <w:sz w:val="26"/>
          <w:szCs w:val="26"/>
        </w:rPr>
        <w:t>tiene la ruta contractual definida para garantizar la continuidad del proceso de implementación tecnológica del</w:t>
      </w:r>
      <w:r>
        <w:rPr>
          <w:rFonts w:ascii="Arial Narrow" w:eastAsia="Arial Narrow" w:hAnsi="Arial Narrow" w:cs="Arial Narrow"/>
          <w:sz w:val="26"/>
          <w:szCs w:val="26"/>
        </w:rPr>
        <w:t xml:space="preserve"> SETP.</w:t>
      </w:r>
    </w:p>
    <w:p w:rsidR="00FF1F16" w:rsidRDefault="004A6500">
      <w:pPr>
        <w:spacing w:before="240" w:after="240"/>
        <w:jc w:val="both"/>
        <w:rPr>
          <w:rFonts w:ascii="Arial Narrow" w:eastAsia="Arial Narrow" w:hAnsi="Arial Narrow" w:cs="Arial Narrow"/>
          <w:b/>
          <w:bCs/>
          <w:sz w:val="24"/>
          <w:szCs w:val="24"/>
          <w:u w:val="single"/>
        </w:rPr>
      </w:pPr>
      <w:r>
        <w:rPr>
          <w:rFonts w:ascii="Arial Narrow" w:eastAsia="Arial Narrow" w:hAnsi="Arial Narrow" w:cs="Arial Narrow"/>
          <w:b/>
          <w:bCs/>
          <w:sz w:val="26"/>
          <w:szCs w:val="26"/>
          <w:u w:val="single"/>
        </w:rPr>
        <w:t>Plan de trabajo para cada compromiso, con cronograma y actor</w:t>
      </w:r>
      <w:r>
        <w:rPr>
          <w:rFonts w:ascii="Arial Narrow" w:eastAsia="Arial Narrow" w:hAnsi="Arial Narrow" w:cs="Arial Narrow"/>
          <w:b/>
          <w:bCs/>
          <w:sz w:val="24"/>
          <w:szCs w:val="24"/>
          <w:u w:val="single"/>
        </w:rPr>
        <w:t>es implicados.</w:t>
      </w:r>
    </w:p>
    <w:tbl>
      <w:tblPr>
        <w:tblStyle w:val="a3"/>
        <w:tblW w:w="9413" w:type="dxa"/>
        <w:jc w:val="cente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187"/>
        <w:gridCol w:w="1450"/>
        <w:gridCol w:w="2776"/>
      </w:tblGrid>
      <w:tr w:rsidR="00FF1F16">
        <w:trPr>
          <w:trHeight w:val="270"/>
          <w:jc w:val="center"/>
        </w:trPr>
        <w:tc>
          <w:tcPr>
            <w:tcW w:w="5187" w:type="dxa"/>
            <w:shd w:val="clear" w:color="auto" w:fill="D0CECE"/>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b/>
                <w:bCs/>
                <w:color w:val="000000"/>
              </w:rPr>
            </w:pPr>
            <w:r>
              <w:rPr>
                <w:rFonts w:ascii="Arial Narrow" w:eastAsia="Arial Narrow" w:hAnsi="Arial Narrow" w:cs="Arial Narrow"/>
                <w:b/>
                <w:bCs/>
                <w:color w:val="000000"/>
              </w:rPr>
              <w:t>Acción</w:t>
            </w:r>
          </w:p>
        </w:tc>
        <w:tc>
          <w:tcPr>
            <w:tcW w:w="1450" w:type="dxa"/>
            <w:shd w:val="clear" w:color="auto" w:fill="D0CECE"/>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b/>
                <w:bCs/>
                <w:color w:val="000000"/>
              </w:rPr>
            </w:pPr>
            <w:r>
              <w:rPr>
                <w:rFonts w:ascii="Arial Narrow" w:eastAsia="Arial Narrow" w:hAnsi="Arial Narrow" w:cs="Arial Narrow"/>
                <w:b/>
                <w:bCs/>
                <w:color w:val="000000"/>
              </w:rPr>
              <w:t>Responsable</w:t>
            </w:r>
          </w:p>
        </w:tc>
        <w:tc>
          <w:tcPr>
            <w:tcW w:w="2776" w:type="dxa"/>
            <w:shd w:val="clear" w:color="auto" w:fill="D0CECE"/>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b/>
                <w:bCs/>
                <w:color w:val="000000"/>
              </w:rPr>
            </w:pPr>
            <w:r>
              <w:rPr>
                <w:rFonts w:ascii="Arial Narrow" w:eastAsia="Arial Narrow" w:hAnsi="Arial Narrow" w:cs="Arial Narrow"/>
                <w:b/>
                <w:bCs/>
                <w:color w:val="000000"/>
              </w:rPr>
              <w:t>Fecha</w:t>
            </w:r>
          </w:p>
        </w:tc>
      </w:tr>
      <w:tr w:rsidR="00FF1F16">
        <w:trPr>
          <w:trHeight w:val="13"/>
          <w:jc w:val="center"/>
        </w:trPr>
        <w:tc>
          <w:tcPr>
            <w:tcW w:w="5187" w:type="dxa"/>
            <w:vAlign w:val="center"/>
          </w:tcPr>
          <w:p w:rsidR="00FF1F16" w:rsidRDefault="004A6500">
            <w:pPr>
              <w:rPr>
                <w:rFonts w:ascii="Arial Narrow" w:eastAsia="Arial Narrow" w:hAnsi="Arial Narrow" w:cs="Arial Narrow"/>
              </w:rPr>
            </w:pPr>
            <w:r>
              <w:rPr>
                <w:rFonts w:ascii="Arial Narrow" w:eastAsia="Arial Narrow" w:hAnsi="Arial Narrow" w:cs="Arial Narrow"/>
              </w:rPr>
              <w:t>Inicio interventoría</w:t>
            </w:r>
          </w:p>
        </w:tc>
        <w:tc>
          <w:tcPr>
            <w:tcW w:w="1450" w:type="dxa"/>
            <w:vAlign w:val="center"/>
          </w:tcPr>
          <w:p w:rsidR="00FF1F16" w:rsidRDefault="004A6500">
            <w:pPr>
              <w:rPr>
                <w:rFonts w:ascii="Arial Narrow" w:eastAsia="Arial Narrow" w:hAnsi="Arial Narrow" w:cs="Arial Narrow"/>
              </w:rPr>
            </w:pPr>
            <w:r>
              <w:rPr>
                <w:rFonts w:ascii="Arial Narrow" w:eastAsia="Arial Narrow" w:hAnsi="Arial Narrow" w:cs="Arial Narrow"/>
              </w:rPr>
              <w:t>Ente Gestor</w:t>
            </w:r>
          </w:p>
        </w:tc>
        <w:tc>
          <w:tcPr>
            <w:tcW w:w="2776" w:type="dxa"/>
            <w:vAlign w:val="center"/>
          </w:tcPr>
          <w:p w:rsidR="00FF1F16" w:rsidRDefault="004A6500">
            <w:pPr>
              <w:rPr>
                <w:rFonts w:ascii="Arial Narrow" w:eastAsia="Arial Narrow" w:hAnsi="Arial Narrow" w:cs="Arial Narrow"/>
              </w:rPr>
            </w:pPr>
            <w:r>
              <w:rPr>
                <w:rFonts w:ascii="Arial Narrow" w:eastAsia="Arial Narrow" w:hAnsi="Arial Narrow" w:cs="Arial Narrow"/>
              </w:rPr>
              <w:t>Julio de 2026</w:t>
            </w:r>
          </w:p>
        </w:tc>
      </w:tr>
      <w:tr w:rsidR="00FF1F16">
        <w:trPr>
          <w:trHeight w:val="272"/>
          <w:jc w:val="center"/>
        </w:trPr>
        <w:tc>
          <w:tcPr>
            <w:tcW w:w="5187" w:type="dxa"/>
            <w:vAlign w:val="center"/>
          </w:tcPr>
          <w:p w:rsidR="00FF1F16" w:rsidRDefault="004A6500">
            <w:pPr>
              <w:rPr>
                <w:rFonts w:ascii="Arial Narrow" w:eastAsia="Arial Narrow" w:hAnsi="Arial Narrow" w:cs="Arial Narrow"/>
              </w:rPr>
            </w:pPr>
            <w:r>
              <w:rPr>
                <w:rFonts w:ascii="Arial Narrow" w:eastAsia="Arial Narrow" w:hAnsi="Arial Narrow" w:cs="Arial Narrow"/>
              </w:rPr>
              <w:t>Reinicio contrato 246 de 2026 (Tecnología SGCF, SGCR y SIU)</w:t>
            </w:r>
          </w:p>
        </w:tc>
        <w:tc>
          <w:tcPr>
            <w:tcW w:w="1450" w:type="dxa"/>
            <w:vAlign w:val="center"/>
          </w:tcPr>
          <w:p w:rsidR="00FF1F16" w:rsidRDefault="004A6500">
            <w:pPr>
              <w:rPr>
                <w:rFonts w:ascii="Arial Narrow" w:eastAsia="Arial Narrow" w:hAnsi="Arial Narrow" w:cs="Arial Narrow"/>
              </w:rPr>
            </w:pPr>
            <w:r>
              <w:rPr>
                <w:rFonts w:ascii="Arial Narrow" w:eastAsia="Arial Narrow" w:hAnsi="Arial Narrow" w:cs="Arial Narrow"/>
              </w:rPr>
              <w:t>STTM</w:t>
            </w:r>
          </w:p>
        </w:tc>
        <w:tc>
          <w:tcPr>
            <w:tcW w:w="2776" w:type="dxa"/>
            <w:vAlign w:val="center"/>
          </w:tcPr>
          <w:p w:rsidR="00FF1F16" w:rsidRDefault="004A6500">
            <w:pPr>
              <w:rPr>
                <w:rFonts w:ascii="Arial Narrow" w:eastAsia="Arial Narrow" w:hAnsi="Arial Narrow" w:cs="Arial Narrow"/>
              </w:rPr>
            </w:pPr>
            <w:r>
              <w:rPr>
                <w:rFonts w:ascii="Arial Narrow" w:eastAsia="Arial Narrow" w:hAnsi="Arial Narrow" w:cs="Arial Narrow"/>
              </w:rPr>
              <w:t>Julio de 2026</w:t>
            </w:r>
          </w:p>
        </w:tc>
      </w:tr>
      <w:tr w:rsidR="00FF1F16">
        <w:trPr>
          <w:trHeight w:val="216"/>
          <w:jc w:val="center"/>
        </w:trPr>
        <w:tc>
          <w:tcPr>
            <w:tcW w:w="5187" w:type="dxa"/>
            <w:vAlign w:val="center"/>
          </w:tcPr>
          <w:p w:rsidR="00FF1F16" w:rsidRDefault="004A6500">
            <w:pPr>
              <w:rPr>
                <w:rFonts w:ascii="Arial Narrow" w:eastAsia="Arial Narrow" w:hAnsi="Arial Narrow" w:cs="Arial Narrow"/>
              </w:rPr>
            </w:pPr>
            <w:r>
              <w:rPr>
                <w:rFonts w:ascii="Arial Narrow" w:eastAsia="Arial Narrow" w:hAnsi="Arial Narrow" w:cs="Arial Narrow"/>
              </w:rPr>
              <w:t>Ejecución Contrato 246 de 2023</w:t>
            </w:r>
          </w:p>
        </w:tc>
        <w:tc>
          <w:tcPr>
            <w:tcW w:w="1450" w:type="dxa"/>
          </w:tcPr>
          <w:p w:rsidR="00FF1F16" w:rsidRDefault="004A6500">
            <w:pPr>
              <w:rPr>
                <w:rFonts w:ascii="Arial Narrow" w:eastAsia="Arial Narrow" w:hAnsi="Arial Narrow" w:cs="Arial Narrow"/>
              </w:rPr>
            </w:pPr>
            <w:r>
              <w:rPr>
                <w:rFonts w:ascii="Arial Narrow" w:eastAsia="Arial Narrow" w:hAnsi="Arial Narrow" w:cs="Arial Narrow"/>
              </w:rPr>
              <w:t>Ente Gestor</w:t>
            </w:r>
          </w:p>
        </w:tc>
        <w:tc>
          <w:tcPr>
            <w:tcW w:w="2776" w:type="dxa"/>
            <w:vAlign w:val="center"/>
          </w:tcPr>
          <w:p w:rsidR="00FF1F16" w:rsidRDefault="004A6500">
            <w:pPr>
              <w:rPr>
                <w:rFonts w:ascii="Arial Narrow" w:eastAsia="Arial Narrow" w:hAnsi="Arial Narrow" w:cs="Arial Narrow"/>
              </w:rPr>
            </w:pPr>
            <w:r>
              <w:rPr>
                <w:rFonts w:ascii="Arial Narrow" w:eastAsia="Arial Narrow" w:hAnsi="Arial Narrow" w:cs="Arial Narrow"/>
              </w:rPr>
              <w:t xml:space="preserve">Julio - </w:t>
            </w:r>
            <w:proofErr w:type="gramStart"/>
            <w:r>
              <w:rPr>
                <w:rFonts w:ascii="Arial Narrow" w:eastAsia="Arial Narrow" w:hAnsi="Arial Narrow" w:cs="Arial Narrow"/>
              </w:rPr>
              <w:t>Diciembre</w:t>
            </w:r>
            <w:proofErr w:type="gramEnd"/>
            <w:r>
              <w:rPr>
                <w:rFonts w:ascii="Arial Narrow" w:eastAsia="Arial Narrow" w:hAnsi="Arial Narrow" w:cs="Arial Narrow"/>
              </w:rPr>
              <w:t xml:space="preserve"> de 2026</w:t>
            </w:r>
          </w:p>
        </w:tc>
      </w:tr>
      <w:tr w:rsidR="00FF1F16">
        <w:trPr>
          <w:trHeight w:val="13"/>
          <w:jc w:val="center"/>
        </w:trPr>
        <w:tc>
          <w:tcPr>
            <w:tcW w:w="5187" w:type="dxa"/>
            <w:vAlign w:val="center"/>
          </w:tcPr>
          <w:p w:rsidR="00FF1F16" w:rsidRDefault="004A6500">
            <w:pPr>
              <w:rPr>
                <w:rFonts w:ascii="Arial Narrow" w:eastAsia="Arial Narrow" w:hAnsi="Arial Narrow" w:cs="Arial Narrow"/>
              </w:rPr>
            </w:pPr>
            <w:r>
              <w:rPr>
                <w:rFonts w:ascii="Arial Narrow" w:eastAsia="Arial Narrow" w:hAnsi="Arial Narrow" w:cs="Arial Narrow"/>
              </w:rPr>
              <w:t>Conformación del operador de recaudo</w:t>
            </w:r>
          </w:p>
        </w:tc>
        <w:tc>
          <w:tcPr>
            <w:tcW w:w="1450" w:type="dxa"/>
          </w:tcPr>
          <w:p w:rsidR="00FF1F16" w:rsidRDefault="004A6500">
            <w:pPr>
              <w:rPr>
                <w:rFonts w:ascii="Arial Narrow" w:eastAsia="Arial Narrow" w:hAnsi="Arial Narrow" w:cs="Arial Narrow"/>
              </w:rPr>
            </w:pPr>
            <w:r>
              <w:rPr>
                <w:rFonts w:ascii="Arial Narrow" w:eastAsia="Arial Narrow" w:hAnsi="Arial Narrow" w:cs="Arial Narrow"/>
              </w:rPr>
              <w:t>Ente Gestor</w:t>
            </w:r>
          </w:p>
        </w:tc>
        <w:tc>
          <w:tcPr>
            <w:tcW w:w="2776" w:type="dxa"/>
            <w:vAlign w:val="center"/>
          </w:tcPr>
          <w:p w:rsidR="00FF1F16" w:rsidRDefault="004A6500">
            <w:pPr>
              <w:rPr>
                <w:rFonts w:ascii="Arial Narrow" w:eastAsia="Arial Narrow" w:hAnsi="Arial Narrow" w:cs="Arial Narrow"/>
              </w:rPr>
            </w:pPr>
            <w:r>
              <w:rPr>
                <w:rFonts w:ascii="Arial Narrow" w:eastAsia="Arial Narrow" w:hAnsi="Arial Narrow" w:cs="Arial Narrow"/>
              </w:rPr>
              <w:t>Octubre de 2026</w:t>
            </w:r>
          </w:p>
        </w:tc>
      </w:tr>
      <w:tr w:rsidR="00FF1F16">
        <w:trPr>
          <w:trHeight w:val="13"/>
          <w:jc w:val="center"/>
        </w:trPr>
        <w:tc>
          <w:tcPr>
            <w:tcW w:w="5187" w:type="dxa"/>
            <w:vAlign w:val="center"/>
          </w:tcPr>
          <w:p w:rsidR="00FF1F16" w:rsidRDefault="004A6500">
            <w:pPr>
              <w:rPr>
                <w:rFonts w:ascii="Arial Narrow" w:eastAsia="Arial Narrow" w:hAnsi="Arial Narrow" w:cs="Arial Narrow"/>
              </w:rPr>
            </w:pPr>
            <w:r>
              <w:rPr>
                <w:rFonts w:ascii="Arial Narrow" w:eastAsia="Arial Narrow" w:hAnsi="Arial Narrow" w:cs="Arial Narrow"/>
              </w:rPr>
              <w:t>Funcionamiento SGCF- SGCR y SIU</w:t>
            </w:r>
          </w:p>
        </w:tc>
        <w:tc>
          <w:tcPr>
            <w:tcW w:w="1450" w:type="dxa"/>
          </w:tcPr>
          <w:p w:rsidR="00FF1F16" w:rsidRDefault="004A6500">
            <w:pPr>
              <w:rPr>
                <w:rFonts w:ascii="Arial Narrow" w:eastAsia="Arial Narrow" w:hAnsi="Arial Narrow" w:cs="Arial Narrow"/>
              </w:rPr>
            </w:pPr>
            <w:r>
              <w:rPr>
                <w:rFonts w:ascii="Arial Narrow" w:eastAsia="Arial Narrow" w:hAnsi="Arial Narrow" w:cs="Arial Narrow"/>
              </w:rPr>
              <w:t>Ente Gestor</w:t>
            </w:r>
          </w:p>
        </w:tc>
        <w:tc>
          <w:tcPr>
            <w:tcW w:w="2776" w:type="dxa"/>
            <w:vAlign w:val="center"/>
          </w:tcPr>
          <w:p w:rsidR="00FF1F16" w:rsidRDefault="004A6500">
            <w:pPr>
              <w:rPr>
                <w:rFonts w:ascii="Arial Narrow" w:eastAsia="Arial Narrow" w:hAnsi="Arial Narrow" w:cs="Arial Narrow"/>
              </w:rPr>
            </w:pPr>
            <w:r>
              <w:rPr>
                <w:rFonts w:ascii="Arial Narrow" w:eastAsia="Arial Narrow" w:hAnsi="Arial Narrow" w:cs="Arial Narrow"/>
              </w:rPr>
              <w:t>Noviembre de 2026</w:t>
            </w:r>
          </w:p>
        </w:tc>
      </w:tr>
      <w:tr w:rsidR="00FF1F16">
        <w:trPr>
          <w:trHeight w:val="13"/>
          <w:jc w:val="center"/>
        </w:trPr>
        <w:tc>
          <w:tcPr>
            <w:tcW w:w="5187" w:type="dxa"/>
            <w:vAlign w:val="center"/>
          </w:tcPr>
          <w:p w:rsidR="00FF1F16" w:rsidRDefault="004A6500">
            <w:pPr>
              <w:rPr>
                <w:rFonts w:ascii="Arial Narrow" w:eastAsia="Arial Narrow" w:hAnsi="Arial Narrow" w:cs="Arial Narrow"/>
              </w:rPr>
            </w:pPr>
            <w:r>
              <w:rPr>
                <w:rFonts w:ascii="Arial Narrow" w:eastAsia="Arial Narrow" w:hAnsi="Arial Narrow" w:cs="Arial Narrow"/>
              </w:rPr>
              <w:t xml:space="preserve">Certificación del 60% de las rutas con tecnología ITS, por parte de la interventoría y del STTM del funcionamiento de los sistemas </w:t>
            </w:r>
          </w:p>
        </w:tc>
        <w:tc>
          <w:tcPr>
            <w:tcW w:w="1450" w:type="dxa"/>
          </w:tcPr>
          <w:p w:rsidR="00FF1F16" w:rsidRDefault="004A6500">
            <w:pPr>
              <w:rPr>
                <w:rFonts w:ascii="Arial Narrow" w:eastAsia="Arial Narrow" w:hAnsi="Arial Narrow" w:cs="Arial Narrow"/>
              </w:rPr>
            </w:pPr>
            <w:r>
              <w:rPr>
                <w:rFonts w:ascii="Arial Narrow" w:eastAsia="Arial Narrow" w:hAnsi="Arial Narrow" w:cs="Arial Narrow"/>
              </w:rPr>
              <w:t>Ente Gestor</w:t>
            </w:r>
          </w:p>
        </w:tc>
        <w:tc>
          <w:tcPr>
            <w:tcW w:w="2776" w:type="dxa"/>
            <w:vAlign w:val="center"/>
          </w:tcPr>
          <w:p w:rsidR="00FF1F16" w:rsidRDefault="004A6500">
            <w:pPr>
              <w:rPr>
                <w:rFonts w:ascii="Arial Narrow" w:eastAsia="Arial Narrow" w:hAnsi="Arial Narrow" w:cs="Arial Narrow"/>
              </w:rPr>
            </w:pPr>
            <w:r>
              <w:rPr>
                <w:rFonts w:ascii="Arial Narrow" w:eastAsia="Arial Narrow" w:hAnsi="Arial Narrow" w:cs="Arial Narrow"/>
              </w:rPr>
              <w:t>Diciembre de 2026</w:t>
            </w:r>
          </w:p>
        </w:tc>
      </w:tr>
      <w:tr w:rsidR="00FF1F16">
        <w:trPr>
          <w:trHeight w:val="13"/>
          <w:jc w:val="center"/>
        </w:trPr>
        <w:tc>
          <w:tcPr>
            <w:tcW w:w="5187" w:type="dxa"/>
            <w:vAlign w:val="center"/>
          </w:tcPr>
          <w:p w:rsidR="00FF1F16" w:rsidRDefault="004A6500">
            <w:pPr>
              <w:rPr>
                <w:rFonts w:ascii="Arial Narrow" w:eastAsia="Arial Narrow" w:hAnsi="Arial Narrow" w:cs="Arial Narrow"/>
              </w:rPr>
            </w:pPr>
            <w:r>
              <w:rPr>
                <w:rFonts w:ascii="Arial Narrow" w:eastAsia="Arial Narrow" w:hAnsi="Arial Narrow" w:cs="Arial Narrow"/>
              </w:rPr>
              <w:t xml:space="preserve">Certificación del 100% de las rutas con tecnología ITS, por parte de la interventoría y del STTM del funcionamiento de los sistemas </w:t>
            </w:r>
          </w:p>
        </w:tc>
        <w:tc>
          <w:tcPr>
            <w:tcW w:w="1450" w:type="dxa"/>
          </w:tcPr>
          <w:p w:rsidR="00FF1F16" w:rsidRDefault="004A6500">
            <w:pPr>
              <w:rPr>
                <w:rFonts w:ascii="Arial Narrow" w:eastAsia="Arial Narrow" w:hAnsi="Arial Narrow" w:cs="Arial Narrow"/>
              </w:rPr>
            </w:pPr>
            <w:r>
              <w:rPr>
                <w:rFonts w:ascii="Arial Narrow" w:eastAsia="Arial Narrow" w:hAnsi="Arial Narrow" w:cs="Arial Narrow"/>
              </w:rPr>
              <w:t>Ente Gestor</w:t>
            </w:r>
          </w:p>
        </w:tc>
        <w:tc>
          <w:tcPr>
            <w:tcW w:w="2776" w:type="dxa"/>
            <w:vAlign w:val="center"/>
          </w:tcPr>
          <w:p w:rsidR="00FF1F16" w:rsidRDefault="004A6500">
            <w:pPr>
              <w:rPr>
                <w:rFonts w:ascii="Arial Narrow" w:eastAsia="Arial Narrow" w:hAnsi="Arial Narrow" w:cs="Arial Narrow"/>
              </w:rPr>
            </w:pPr>
            <w:proofErr w:type="gramStart"/>
            <w:r>
              <w:rPr>
                <w:rFonts w:ascii="Arial Narrow" w:eastAsia="Arial Narrow" w:hAnsi="Arial Narrow" w:cs="Arial Narrow"/>
              </w:rPr>
              <w:t>Mayo  de</w:t>
            </w:r>
            <w:proofErr w:type="gramEnd"/>
            <w:r>
              <w:rPr>
                <w:rFonts w:ascii="Arial Narrow" w:eastAsia="Arial Narrow" w:hAnsi="Arial Narrow" w:cs="Arial Narrow"/>
              </w:rPr>
              <w:t xml:space="preserve"> 2027</w:t>
            </w:r>
          </w:p>
        </w:tc>
      </w:tr>
    </w:tbl>
    <w:p w:rsidR="00FF1F16" w:rsidRDefault="00FF1F16">
      <w:pPr>
        <w:rPr>
          <w:rFonts w:ascii="Arial Narrow" w:eastAsia="Arial Narrow" w:hAnsi="Arial Narrow" w:cs="Arial Narrow"/>
          <w:color w:val="000000"/>
          <w:sz w:val="18"/>
          <w:szCs w:val="18"/>
        </w:rPr>
      </w:pPr>
    </w:p>
    <w:p w:rsidR="00FF1F16" w:rsidRDefault="004A6500">
      <w:pPr>
        <w:spacing w:before="240" w:after="240"/>
        <w:jc w:val="both"/>
        <w:rPr>
          <w:rFonts w:ascii="Arial Narrow" w:eastAsia="Arial Narrow" w:hAnsi="Arial Narrow" w:cs="Arial Narrow"/>
          <w:sz w:val="24"/>
          <w:szCs w:val="24"/>
        </w:rPr>
      </w:pPr>
      <w:r>
        <w:rPr>
          <w:rFonts w:ascii="Arial Narrow" w:eastAsia="Arial Narrow" w:hAnsi="Arial Narrow" w:cs="Arial Narrow"/>
          <w:b/>
          <w:bCs/>
          <w:sz w:val="24"/>
          <w:szCs w:val="24"/>
          <w:u w:val="single"/>
        </w:rPr>
        <w:t>Propuesta de reprogramación de fechas:</w:t>
      </w:r>
      <w:r>
        <w:rPr>
          <w:rFonts w:ascii="Arial Narrow" w:eastAsia="Arial Narrow" w:hAnsi="Arial Narrow" w:cs="Arial Narrow"/>
          <w:b/>
          <w:bCs/>
          <w:sz w:val="24"/>
          <w:szCs w:val="24"/>
        </w:rPr>
        <w:t xml:space="preserve"> </w:t>
      </w:r>
    </w:p>
    <w:tbl>
      <w:tblPr>
        <w:tblStyle w:val="a4"/>
        <w:tblW w:w="9255"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265"/>
        <w:gridCol w:w="1110"/>
        <w:gridCol w:w="2880"/>
      </w:tblGrid>
      <w:tr w:rsidR="00FF1F16">
        <w:tc>
          <w:tcPr>
            <w:tcW w:w="5265" w:type="dxa"/>
            <w:shd w:val="clear" w:color="auto" w:fill="E7E6E6"/>
          </w:tcPr>
          <w:p w:rsidR="00FF1F16" w:rsidRDefault="004A6500">
            <w:pPr>
              <w:jc w:val="center"/>
              <w:rPr>
                <w:rFonts w:ascii="Arial Narrow" w:eastAsia="Arial Narrow" w:hAnsi="Arial Narrow" w:cs="Arial Narrow"/>
                <w:b/>
                <w:bCs/>
              </w:rPr>
            </w:pPr>
            <w:r>
              <w:rPr>
                <w:rFonts w:ascii="Arial Narrow" w:eastAsia="Arial Narrow" w:hAnsi="Arial Narrow" w:cs="Arial Narrow"/>
                <w:b/>
                <w:bCs/>
              </w:rPr>
              <w:t>Compromiso</w:t>
            </w:r>
          </w:p>
        </w:tc>
        <w:tc>
          <w:tcPr>
            <w:tcW w:w="1110" w:type="dxa"/>
            <w:shd w:val="clear" w:color="auto" w:fill="E7E6E6"/>
          </w:tcPr>
          <w:p w:rsidR="00FF1F16" w:rsidRDefault="004A6500">
            <w:pPr>
              <w:jc w:val="center"/>
              <w:rPr>
                <w:rFonts w:ascii="Arial Narrow" w:eastAsia="Arial Narrow" w:hAnsi="Arial Narrow" w:cs="Arial Narrow"/>
                <w:b/>
                <w:bCs/>
              </w:rPr>
            </w:pPr>
            <w:r>
              <w:rPr>
                <w:rFonts w:ascii="Arial Narrow" w:eastAsia="Arial Narrow" w:hAnsi="Arial Narrow" w:cs="Arial Narrow"/>
                <w:b/>
                <w:bCs/>
              </w:rPr>
              <w:t>Responsable</w:t>
            </w:r>
          </w:p>
        </w:tc>
        <w:tc>
          <w:tcPr>
            <w:tcW w:w="2880" w:type="dxa"/>
            <w:shd w:val="clear" w:color="auto" w:fill="E7E6E6"/>
          </w:tcPr>
          <w:p w:rsidR="00FF1F16" w:rsidRDefault="004A6500">
            <w:pPr>
              <w:jc w:val="center"/>
              <w:rPr>
                <w:rFonts w:ascii="Arial Narrow" w:eastAsia="Arial Narrow" w:hAnsi="Arial Narrow" w:cs="Arial Narrow"/>
                <w:b/>
                <w:bCs/>
              </w:rPr>
            </w:pPr>
            <w:r>
              <w:rPr>
                <w:rFonts w:ascii="Arial Narrow" w:eastAsia="Arial Narrow" w:hAnsi="Arial Narrow" w:cs="Arial Narrow"/>
                <w:b/>
                <w:bCs/>
              </w:rPr>
              <w:t>Nueva fecha</w:t>
            </w:r>
          </w:p>
        </w:tc>
      </w:tr>
      <w:tr w:rsidR="00FF1F16">
        <w:trPr>
          <w:trHeight w:val="517"/>
        </w:trPr>
        <w:tc>
          <w:tcPr>
            <w:tcW w:w="5265" w:type="dxa"/>
            <w:vAlign w:val="center"/>
          </w:tcPr>
          <w:p w:rsidR="00FF1F16" w:rsidRDefault="004A6500">
            <w:pPr>
              <w:numPr>
                <w:ilvl w:val="0"/>
                <w:numId w:val="3"/>
              </w:numPr>
              <w:pBdr>
                <w:top w:val="nil"/>
                <w:left w:val="nil"/>
                <w:bottom w:val="nil"/>
                <w:right w:val="nil"/>
                <w:between w:val="nil"/>
              </w:pBdr>
              <w:spacing w:line="240" w:lineRule="auto"/>
              <w:ind w:left="306"/>
              <w:rPr>
                <w:rFonts w:ascii="Arial Narrow" w:eastAsia="Arial Narrow" w:hAnsi="Arial Narrow" w:cs="Arial Narrow"/>
                <w:color w:val="000000"/>
              </w:rPr>
            </w:pPr>
            <w:r>
              <w:rPr>
                <w:rFonts w:ascii="Arial Narrow" w:eastAsia="Arial Narrow" w:hAnsi="Arial Narrow" w:cs="Arial Narrow"/>
                <w:color w:val="000000"/>
              </w:rPr>
              <w:t>Cerrar técnica, legal y financieramente el contrato tecnológico.</w:t>
            </w:r>
          </w:p>
          <w:p w:rsidR="00FF1F16" w:rsidRDefault="00FF1F16">
            <w:pPr>
              <w:rPr>
                <w:rFonts w:ascii="Arial Narrow" w:eastAsia="Arial Narrow" w:hAnsi="Arial Narrow" w:cs="Arial Narrow"/>
              </w:rPr>
            </w:pPr>
          </w:p>
        </w:tc>
        <w:tc>
          <w:tcPr>
            <w:tcW w:w="1110" w:type="dxa"/>
            <w:vMerge w:val="restart"/>
            <w:vAlign w:val="center"/>
          </w:tcPr>
          <w:p w:rsidR="00FF1F16" w:rsidRDefault="004A6500">
            <w:pPr>
              <w:jc w:val="center"/>
              <w:rPr>
                <w:rFonts w:ascii="Arial Narrow" w:eastAsia="Arial Narrow" w:hAnsi="Arial Narrow" w:cs="Arial Narrow"/>
              </w:rPr>
            </w:pPr>
            <w:r>
              <w:rPr>
                <w:rFonts w:ascii="Arial Narrow" w:eastAsia="Arial Narrow" w:hAnsi="Arial Narrow" w:cs="Arial Narrow"/>
              </w:rPr>
              <w:t>Ente Gestor</w:t>
            </w:r>
          </w:p>
        </w:tc>
        <w:tc>
          <w:tcPr>
            <w:tcW w:w="2880" w:type="dxa"/>
            <w:vAlign w:val="center"/>
          </w:tcPr>
          <w:p w:rsidR="00FF1F16" w:rsidRDefault="004A6500">
            <w:pPr>
              <w:jc w:val="center"/>
              <w:rPr>
                <w:rFonts w:ascii="Arial Narrow" w:eastAsia="Arial Narrow" w:hAnsi="Arial Narrow" w:cs="Arial Narrow"/>
              </w:rPr>
            </w:pPr>
            <w:r>
              <w:rPr>
                <w:rFonts w:ascii="Arial Narrow" w:eastAsia="Arial Narrow" w:hAnsi="Arial Narrow" w:cs="Arial Narrow"/>
              </w:rPr>
              <w:t>Mayo 2027</w:t>
            </w:r>
          </w:p>
        </w:tc>
      </w:tr>
      <w:tr w:rsidR="00FF1F16">
        <w:trPr>
          <w:trHeight w:val="562"/>
        </w:trPr>
        <w:tc>
          <w:tcPr>
            <w:tcW w:w="5265" w:type="dxa"/>
          </w:tcPr>
          <w:p w:rsidR="00FF1F16" w:rsidRDefault="004A6500">
            <w:pPr>
              <w:numPr>
                <w:ilvl w:val="0"/>
                <w:numId w:val="3"/>
              </w:numPr>
              <w:pBdr>
                <w:top w:val="nil"/>
                <w:left w:val="nil"/>
                <w:bottom w:val="nil"/>
                <w:right w:val="nil"/>
                <w:between w:val="nil"/>
              </w:pBdr>
              <w:spacing w:line="240" w:lineRule="auto"/>
              <w:ind w:left="306"/>
              <w:rPr>
                <w:rFonts w:ascii="Arial Narrow" w:eastAsia="Arial Narrow" w:hAnsi="Arial Narrow" w:cs="Arial Narrow"/>
                <w:color w:val="000000"/>
              </w:rPr>
            </w:pPr>
            <w:r>
              <w:rPr>
                <w:rFonts w:ascii="Arial Narrow" w:eastAsia="Arial Narrow" w:hAnsi="Arial Narrow" w:cs="Arial Narrow"/>
                <w:color w:val="000000"/>
              </w:rPr>
              <w:t>Garantizar la instalación del 60% de la tecnología de recaudo y el funcionamiento del SGCF.</w:t>
            </w:r>
          </w:p>
          <w:p w:rsidR="00FF1F16" w:rsidRDefault="00FF1F16">
            <w:pPr>
              <w:ind w:left="306"/>
              <w:rPr>
                <w:rFonts w:ascii="Arial Narrow" w:eastAsia="Arial Narrow" w:hAnsi="Arial Narrow" w:cs="Arial Narrow"/>
                <w:color w:val="000000"/>
              </w:rPr>
            </w:pPr>
          </w:p>
        </w:tc>
        <w:tc>
          <w:tcPr>
            <w:tcW w:w="1110" w:type="dxa"/>
            <w:vMerge/>
            <w:vAlign w:val="center"/>
          </w:tcPr>
          <w:p w:rsidR="00FF1F16" w:rsidRDefault="00FF1F16">
            <w:pPr>
              <w:widowControl w:val="0"/>
              <w:pBdr>
                <w:top w:val="nil"/>
                <w:left w:val="nil"/>
                <w:bottom w:val="nil"/>
                <w:right w:val="nil"/>
                <w:between w:val="nil"/>
              </w:pBdr>
              <w:rPr>
                <w:rFonts w:ascii="Arial Narrow" w:eastAsia="Arial Narrow" w:hAnsi="Arial Narrow" w:cs="Arial Narrow"/>
                <w:color w:val="000000"/>
                <w:sz w:val="20"/>
                <w:szCs w:val="20"/>
              </w:rPr>
            </w:pPr>
          </w:p>
        </w:tc>
        <w:tc>
          <w:tcPr>
            <w:tcW w:w="2880" w:type="dxa"/>
            <w:vAlign w:val="center"/>
          </w:tcPr>
          <w:p w:rsidR="00FF1F16" w:rsidRDefault="004A6500">
            <w:pPr>
              <w:jc w:val="center"/>
              <w:rPr>
                <w:rFonts w:ascii="Arial Narrow" w:eastAsia="Arial Narrow" w:hAnsi="Arial Narrow" w:cs="Arial Narrow"/>
              </w:rPr>
            </w:pPr>
            <w:proofErr w:type="gramStart"/>
            <w:r>
              <w:rPr>
                <w:rFonts w:ascii="Arial Narrow" w:eastAsia="Arial Narrow" w:hAnsi="Arial Narrow" w:cs="Arial Narrow"/>
              </w:rPr>
              <w:t>Diciembre  2026</w:t>
            </w:r>
            <w:proofErr w:type="gramEnd"/>
          </w:p>
        </w:tc>
      </w:tr>
      <w:tr w:rsidR="00FF1F16">
        <w:tc>
          <w:tcPr>
            <w:tcW w:w="5265" w:type="dxa"/>
          </w:tcPr>
          <w:p w:rsidR="00FF1F16" w:rsidRDefault="004A6500">
            <w:pPr>
              <w:numPr>
                <w:ilvl w:val="0"/>
                <w:numId w:val="3"/>
              </w:numPr>
              <w:pBdr>
                <w:top w:val="nil"/>
                <w:left w:val="nil"/>
                <w:bottom w:val="nil"/>
                <w:right w:val="nil"/>
                <w:between w:val="nil"/>
              </w:pBdr>
              <w:spacing w:line="240" w:lineRule="auto"/>
              <w:ind w:left="306"/>
              <w:rPr>
                <w:rFonts w:ascii="Arial Narrow" w:eastAsia="Arial Narrow" w:hAnsi="Arial Narrow" w:cs="Arial Narrow"/>
                <w:color w:val="000000"/>
              </w:rPr>
            </w:pPr>
            <w:r>
              <w:rPr>
                <w:rFonts w:ascii="Arial Narrow" w:eastAsia="Arial Narrow" w:hAnsi="Arial Narrow" w:cs="Arial Narrow"/>
                <w:color w:val="000000"/>
              </w:rPr>
              <w:t>Garantizar la instalación del 100% de la tecnología de recaudo.</w:t>
            </w:r>
          </w:p>
          <w:p w:rsidR="00FF1F16" w:rsidRDefault="00FF1F16">
            <w:pPr>
              <w:pBdr>
                <w:top w:val="nil"/>
                <w:left w:val="nil"/>
                <w:bottom w:val="nil"/>
                <w:right w:val="nil"/>
                <w:between w:val="nil"/>
              </w:pBdr>
              <w:spacing w:line="240" w:lineRule="auto"/>
              <w:ind w:left="306"/>
              <w:rPr>
                <w:rFonts w:ascii="Arial Narrow" w:eastAsia="Arial Narrow" w:hAnsi="Arial Narrow" w:cs="Arial Narrow"/>
                <w:color w:val="000000"/>
              </w:rPr>
            </w:pPr>
          </w:p>
        </w:tc>
        <w:tc>
          <w:tcPr>
            <w:tcW w:w="1110" w:type="dxa"/>
            <w:vMerge/>
            <w:vAlign w:val="center"/>
          </w:tcPr>
          <w:p w:rsidR="00FF1F16" w:rsidRDefault="00FF1F16">
            <w:pPr>
              <w:widowControl w:val="0"/>
              <w:pBdr>
                <w:top w:val="nil"/>
                <w:left w:val="nil"/>
                <w:bottom w:val="nil"/>
                <w:right w:val="nil"/>
                <w:between w:val="nil"/>
              </w:pBdr>
              <w:rPr>
                <w:rFonts w:ascii="Arial Narrow" w:eastAsia="Arial Narrow" w:hAnsi="Arial Narrow" w:cs="Arial Narrow"/>
                <w:color w:val="000000"/>
                <w:sz w:val="20"/>
                <w:szCs w:val="20"/>
              </w:rPr>
            </w:pPr>
          </w:p>
        </w:tc>
        <w:tc>
          <w:tcPr>
            <w:tcW w:w="2880" w:type="dxa"/>
            <w:vAlign w:val="center"/>
          </w:tcPr>
          <w:p w:rsidR="00FF1F16" w:rsidRDefault="004A6500">
            <w:pPr>
              <w:jc w:val="center"/>
              <w:rPr>
                <w:rFonts w:ascii="Arial Narrow" w:eastAsia="Arial Narrow" w:hAnsi="Arial Narrow" w:cs="Arial Narrow"/>
              </w:rPr>
            </w:pPr>
            <w:proofErr w:type="gramStart"/>
            <w:r>
              <w:rPr>
                <w:rFonts w:ascii="Arial Narrow" w:eastAsia="Arial Narrow" w:hAnsi="Arial Narrow" w:cs="Arial Narrow"/>
              </w:rPr>
              <w:t>Mayo  2027</w:t>
            </w:r>
            <w:proofErr w:type="gramEnd"/>
          </w:p>
        </w:tc>
      </w:tr>
    </w:tbl>
    <w:p w:rsidR="00FF1F16" w:rsidRDefault="00FF1F16">
      <w:pPr>
        <w:rPr>
          <w:rFonts w:ascii="Arial Narrow" w:eastAsia="Arial Narrow" w:hAnsi="Arial Narrow" w:cs="Arial Narrow"/>
        </w:rPr>
      </w:pPr>
    </w:p>
    <w:p w:rsidR="00FF1F16" w:rsidRDefault="00FF1F16">
      <w:pPr>
        <w:rPr>
          <w:rFonts w:ascii="Arial Narrow" w:eastAsia="Arial Narrow" w:hAnsi="Arial Narrow" w:cs="Arial Narrow"/>
        </w:rPr>
      </w:pPr>
    </w:p>
    <w:p w:rsidR="00FF1F16" w:rsidRDefault="00FF1F16">
      <w:pPr>
        <w:rPr>
          <w:rFonts w:ascii="Arial Narrow" w:eastAsia="Arial Narrow" w:hAnsi="Arial Narrow" w:cs="Arial Narrow"/>
        </w:rPr>
      </w:pPr>
    </w:p>
    <w:p w:rsidR="00FF1F16" w:rsidRDefault="00FF1F16">
      <w:pPr>
        <w:rPr>
          <w:rFonts w:ascii="Arial Narrow" w:eastAsia="Arial Narrow" w:hAnsi="Arial Narrow" w:cs="Arial Narrow"/>
          <w:color w:val="000000"/>
          <w:sz w:val="18"/>
          <w:szCs w:val="18"/>
        </w:rPr>
      </w:pPr>
    </w:p>
    <w:p w:rsidR="00FF1F16" w:rsidRDefault="004A6500">
      <w:pPr>
        <w:numPr>
          <w:ilvl w:val="0"/>
          <w:numId w:val="2"/>
        </w:num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b/>
          <w:bCs/>
          <w:color w:val="000000"/>
          <w:sz w:val="24"/>
          <w:szCs w:val="24"/>
        </w:rPr>
        <w:lastRenderedPageBreak/>
        <w:t>REDISTRIBUCIÓN DE COMPONENTES DE INFRAESTRUCTURA</w:t>
      </w:r>
      <w:r>
        <w:rPr>
          <w:rFonts w:ascii="Arial Narrow" w:eastAsia="Arial Narrow" w:hAnsi="Arial Narrow" w:cs="Arial Narrow"/>
          <w:color w:val="000000"/>
          <w:sz w:val="24"/>
          <w:szCs w:val="24"/>
        </w:rPr>
        <w:t>.</w:t>
      </w:r>
    </w:p>
    <w:p w:rsidR="00FF1F16" w:rsidRDefault="00FF1F16">
      <w:pPr>
        <w:rPr>
          <w:rFonts w:ascii="Arial Narrow" w:eastAsia="Arial Narrow" w:hAnsi="Arial Narrow" w:cs="Arial Narrow"/>
          <w:color w:val="000000"/>
          <w:sz w:val="24"/>
          <w:szCs w:val="24"/>
        </w:rPr>
      </w:pPr>
    </w:p>
    <w:p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sz w:val="24"/>
          <w:szCs w:val="24"/>
        </w:rPr>
        <w:t>Compromiso:</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Redistribuir los recursos del convenio de cofinanciación orientados hacia las necesidades prioritarias para la puesta en operación del sistema, en el marco del convenio de cofinanciación.</w:t>
      </w:r>
    </w:p>
    <w:p w:rsidR="00FF1F16" w:rsidRDefault="004A6500">
      <w:pPr>
        <w:rPr>
          <w:rFonts w:ascii="Arial Narrow" w:eastAsia="Arial Narrow" w:hAnsi="Arial Narrow" w:cs="Arial Narrow"/>
          <w:sz w:val="24"/>
          <w:szCs w:val="24"/>
        </w:rPr>
      </w:pPr>
      <w:r>
        <w:rPr>
          <w:rFonts w:ascii="Arial Narrow" w:eastAsia="Arial Narrow" w:hAnsi="Arial Narrow" w:cs="Arial Narrow"/>
          <w:b/>
          <w:bCs/>
          <w:sz w:val="24"/>
          <w:szCs w:val="24"/>
        </w:rPr>
        <w:t>Responsable Principal:</w:t>
      </w:r>
      <w:r>
        <w:rPr>
          <w:rFonts w:ascii="Arial Narrow" w:eastAsia="Arial Narrow" w:hAnsi="Arial Narrow" w:cs="Arial Narrow"/>
          <w:sz w:val="24"/>
          <w:szCs w:val="24"/>
        </w:rPr>
        <w:t xml:space="preserve"> Ente Gestor/Ministerio de Transporte</w:t>
      </w:r>
    </w:p>
    <w:p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sz w:val="24"/>
          <w:szCs w:val="24"/>
        </w:rPr>
        <w:t>Fecha Lí</w:t>
      </w:r>
      <w:r>
        <w:rPr>
          <w:rFonts w:ascii="Arial Narrow" w:eastAsia="Arial Narrow" w:hAnsi="Arial Narrow" w:cs="Arial Narrow"/>
          <w:b/>
          <w:bCs/>
          <w:sz w:val="24"/>
          <w:szCs w:val="24"/>
        </w:rPr>
        <w:t>mite:</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Una vez se realice la firma del acuerdo entre las partes.</w:t>
      </w:r>
    </w:p>
    <w:p w:rsidR="00FF1F16" w:rsidRDefault="00FF1F16">
      <w:pPr>
        <w:rPr>
          <w:rFonts w:ascii="Arial Narrow" w:eastAsia="Arial Narrow" w:hAnsi="Arial Narrow" w:cs="Arial Narrow"/>
          <w:sz w:val="24"/>
          <w:szCs w:val="24"/>
        </w:rPr>
      </w:pPr>
    </w:p>
    <w:p w:rsidR="00FF1F16" w:rsidRDefault="004A6500">
      <w:pPr>
        <w:rPr>
          <w:rFonts w:ascii="Arial Narrow" w:eastAsia="Arial Narrow" w:hAnsi="Arial Narrow" w:cs="Arial Narrow"/>
          <w:sz w:val="24"/>
          <w:szCs w:val="24"/>
          <w:u w:val="single"/>
        </w:rPr>
      </w:pPr>
      <w:r>
        <w:rPr>
          <w:rFonts w:ascii="Arial Narrow" w:eastAsia="Arial Narrow" w:hAnsi="Arial Narrow" w:cs="Arial Narrow"/>
          <w:b/>
          <w:bCs/>
          <w:sz w:val="24"/>
          <w:szCs w:val="24"/>
          <w:u w:val="single"/>
        </w:rPr>
        <w:t>Acciones adelantadas</w:t>
      </w:r>
      <w:r>
        <w:rPr>
          <w:rFonts w:ascii="Arial Narrow" w:eastAsia="Arial Narrow" w:hAnsi="Arial Narrow" w:cs="Arial Narrow"/>
          <w:sz w:val="24"/>
          <w:szCs w:val="24"/>
          <w:u w:val="single"/>
        </w:rPr>
        <w:t xml:space="preserve"> </w:t>
      </w:r>
    </w:p>
    <w:p w:rsidR="00FF1F16" w:rsidRDefault="00FF1F16">
      <w:pPr>
        <w:rPr>
          <w:rFonts w:ascii="Arial Narrow" w:eastAsia="Arial Narrow" w:hAnsi="Arial Narrow" w:cs="Arial Narrow"/>
          <w:sz w:val="24"/>
          <w:szCs w:val="24"/>
          <w:u w:val="single"/>
        </w:rPr>
      </w:pPr>
    </w:p>
    <w:p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Como antecedente se tiene que e</w:t>
      </w:r>
      <w:r>
        <w:rPr>
          <w:rFonts w:ascii="Arial Narrow" w:eastAsia="Arial Narrow" w:hAnsi="Arial Narrow" w:cs="Arial Narrow"/>
          <w:sz w:val="24"/>
          <w:szCs w:val="24"/>
        </w:rPr>
        <w:t xml:space="preserve">l ente Gestor desarrolló “in </w:t>
      </w:r>
      <w:proofErr w:type="spellStart"/>
      <w:r>
        <w:rPr>
          <w:rFonts w:ascii="Arial Narrow" w:eastAsia="Arial Narrow" w:hAnsi="Arial Narrow" w:cs="Arial Narrow"/>
          <w:sz w:val="24"/>
          <w:szCs w:val="24"/>
        </w:rPr>
        <w:t>house</w:t>
      </w:r>
      <w:proofErr w:type="spellEnd"/>
      <w:r>
        <w:rPr>
          <w:rFonts w:ascii="Arial Narrow" w:eastAsia="Arial Narrow" w:hAnsi="Arial Narrow" w:cs="Arial Narrow"/>
          <w:sz w:val="24"/>
          <w:szCs w:val="24"/>
        </w:rPr>
        <w:t>” la Estructuración Técnica, Legal y Financiera (ETLF),  la cual recibió concepto favorable por parte del Departamento Nacional de Planeación (DNP) mediante oficio radicado 20195280260231 del 2 de mayo de 2019,  concepto a</w:t>
      </w:r>
      <w:r>
        <w:rPr>
          <w:rFonts w:ascii="Arial Narrow" w:eastAsia="Arial Narrow" w:hAnsi="Arial Narrow" w:cs="Arial Narrow"/>
          <w:sz w:val="24"/>
          <w:szCs w:val="24"/>
        </w:rPr>
        <w:t>sociado a los estudios para la implementación del Sistema Estratégico de Transporte Público de Pasajeros de Popayán (SETP), los cuales comprenden, el modelo de operación, la infraestructura física y tecnológica de apoyo, así como su modelo jurídico y finan</w:t>
      </w:r>
      <w:r>
        <w:rPr>
          <w:rFonts w:ascii="Arial Narrow" w:eastAsia="Arial Narrow" w:hAnsi="Arial Narrow" w:cs="Arial Narrow"/>
          <w:sz w:val="24"/>
          <w:szCs w:val="24"/>
        </w:rPr>
        <w:t>ciero; todo ello en cumplimiento del Decreto 1079 de 2015.</w:t>
      </w:r>
    </w:p>
    <w:p w:rsidR="00FF1F16" w:rsidRDefault="00FF1F16">
      <w:pPr>
        <w:jc w:val="both"/>
        <w:rPr>
          <w:rFonts w:ascii="Arial Narrow" w:eastAsia="Arial Narrow" w:hAnsi="Arial Narrow" w:cs="Arial Narrow"/>
          <w:sz w:val="24"/>
          <w:szCs w:val="24"/>
        </w:rPr>
      </w:pPr>
    </w:p>
    <w:p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Desde el punto de vista técnico, en la ETLF consideró la necesidad de la construcción de infraestructura de apoyo:  dos Estaciones de integración (norte y occidente) y dos Patios y Talleres (norte</w:t>
      </w:r>
      <w:r>
        <w:rPr>
          <w:rFonts w:ascii="Arial Narrow" w:eastAsia="Arial Narrow" w:hAnsi="Arial Narrow" w:cs="Arial Narrow"/>
          <w:sz w:val="24"/>
          <w:szCs w:val="24"/>
        </w:rPr>
        <w:t xml:space="preserve"> y occidente), donde la entidad cuenta con los diseños al detalle de cada uno de ellos, dimensionados sobre los lotes adquiridos en el año 2018 bajo escrituras No. No.2133, 5371 y 1958. </w:t>
      </w:r>
    </w:p>
    <w:p w:rsidR="00FF1F16" w:rsidRDefault="00FF1F16">
      <w:pPr>
        <w:jc w:val="both"/>
        <w:rPr>
          <w:rFonts w:ascii="Arial Narrow" w:eastAsia="Arial Narrow" w:hAnsi="Arial Narrow" w:cs="Arial Narrow"/>
          <w:sz w:val="24"/>
          <w:szCs w:val="24"/>
        </w:rPr>
      </w:pPr>
    </w:p>
    <w:p w:rsidR="00FF1F16" w:rsidRDefault="004A6500">
      <w:pPr>
        <w:ind w:left="566" w:right="892"/>
        <w:jc w:val="both"/>
        <w:rPr>
          <w:rFonts w:ascii="Arial Narrow" w:eastAsia="Arial Narrow" w:hAnsi="Arial Narrow" w:cs="Arial Narrow"/>
          <w:i/>
          <w:iCs/>
          <w:sz w:val="24"/>
          <w:szCs w:val="24"/>
        </w:rPr>
      </w:pPr>
      <w:r>
        <w:rPr>
          <w:rFonts w:ascii="Arial Narrow" w:eastAsia="Arial Narrow" w:hAnsi="Arial Narrow" w:cs="Arial Narrow"/>
          <w:sz w:val="24"/>
          <w:szCs w:val="24"/>
        </w:rPr>
        <w:t>Estudios y diseños de las estaciones de integración se realizaron ba</w:t>
      </w:r>
      <w:r>
        <w:rPr>
          <w:rFonts w:ascii="Arial Narrow" w:eastAsia="Arial Narrow" w:hAnsi="Arial Narrow" w:cs="Arial Narrow"/>
          <w:sz w:val="24"/>
          <w:szCs w:val="24"/>
        </w:rPr>
        <w:t xml:space="preserve">jo el contrato de consultoría No. 221 de 2020 con el objeto: </w:t>
      </w:r>
      <w:r>
        <w:rPr>
          <w:rFonts w:ascii="Arial Narrow" w:eastAsia="Arial Narrow" w:hAnsi="Arial Narrow" w:cs="Arial Narrow"/>
          <w:i/>
          <w:iCs/>
          <w:sz w:val="24"/>
          <w:szCs w:val="24"/>
        </w:rPr>
        <w:t>“EL CONTRATISTA SE OBLIGA PARA CON MOVILIDAD FUTURA S.A.S. A REALIZAR LOS ESTUDIOS Y DISEÑOS DE ELEMENTOS DE INFRAESTRUCTURA DEL SETP - POPAYÁN: ESTACIÓN DE INTEGRACIÓN NORTE, ESTACIÓN DE INTEGRA</w:t>
      </w:r>
      <w:r>
        <w:rPr>
          <w:rFonts w:ascii="Arial Narrow" w:eastAsia="Arial Narrow" w:hAnsi="Arial Narrow" w:cs="Arial Narrow"/>
          <w:i/>
          <w:iCs/>
          <w:sz w:val="24"/>
          <w:szCs w:val="24"/>
        </w:rPr>
        <w:t>CIÓN OCCIDENTE, PARADERO CON ESPACIO PÚBLICO DEL SUR Y CONEXIONES VIALES ASOCIADAS, QUE PERMITIRÁN MEDIANTE LA INFRAESTRUCTURA ADECUADA LA INTERACCIÓN DE LOS DIFERENTES MODOS DE TRANSPORTE EN LA CIUDAD, EN PUNTOS ESTRATÉGICOS.”</w:t>
      </w:r>
    </w:p>
    <w:p w:rsidR="00FF1F16" w:rsidRDefault="00FF1F16">
      <w:pPr>
        <w:ind w:left="566" w:right="892"/>
        <w:jc w:val="both"/>
        <w:rPr>
          <w:rFonts w:ascii="Arial Narrow" w:eastAsia="Arial Narrow" w:hAnsi="Arial Narrow" w:cs="Arial Narrow"/>
          <w:i/>
          <w:iCs/>
          <w:sz w:val="24"/>
          <w:szCs w:val="24"/>
        </w:rPr>
      </w:pPr>
    </w:p>
    <w:p w:rsidR="00FF1F16" w:rsidRDefault="004A6500">
      <w:pPr>
        <w:ind w:left="566" w:right="892"/>
        <w:jc w:val="both"/>
        <w:rPr>
          <w:rFonts w:ascii="Arial Narrow" w:eastAsia="Arial Narrow" w:hAnsi="Arial Narrow" w:cs="Arial Narrow"/>
          <w:i/>
          <w:iCs/>
          <w:sz w:val="24"/>
          <w:szCs w:val="24"/>
        </w:rPr>
      </w:pPr>
      <w:r>
        <w:rPr>
          <w:rFonts w:ascii="Arial Narrow" w:eastAsia="Arial Narrow" w:hAnsi="Arial Narrow" w:cs="Arial Narrow"/>
          <w:sz w:val="24"/>
          <w:szCs w:val="24"/>
        </w:rPr>
        <w:t>Estudios y diseños de los p</w:t>
      </w:r>
      <w:r>
        <w:rPr>
          <w:rFonts w:ascii="Arial Narrow" w:eastAsia="Arial Narrow" w:hAnsi="Arial Narrow" w:cs="Arial Narrow"/>
          <w:sz w:val="24"/>
          <w:szCs w:val="24"/>
        </w:rPr>
        <w:t>atios se ejecutaron mediante el contrato No. 072 de 2021 cuyo objeto “</w:t>
      </w:r>
      <w:r>
        <w:rPr>
          <w:rFonts w:ascii="Arial Narrow" w:eastAsia="Arial Narrow" w:hAnsi="Arial Narrow" w:cs="Arial Narrow"/>
          <w:i/>
          <w:iCs/>
          <w:sz w:val="24"/>
          <w:szCs w:val="24"/>
        </w:rPr>
        <w:t>REALIZAR LOS ESTUDIOS Y DISEÑOS DE LA INFRAESTRUCTURA BÁSICA DEL SETP - POPAYÁN: PATIO y TALLER NORTE, PATIO y TALLER OCCIDENTE Y ÁREAS ASOCIADAS COMO CENTROS DE OPERACIÓN, ZONA DE MANTE</w:t>
      </w:r>
      <w:r>
        <w:rPr>
          <w:rFonts w:ascii="Arial Narrow" w:eastAsia="Arial Narrow" w:hAnsi="Arial Narrow" w:cs="Arial Narrow"/>
          <w:i/>
          <w:iCs/>
          <w:sz w:val="24"/>
          <w:szCs w:val="24"/>
        </w:rPr>
        <w:t xml:space="preserve">NIMIENTО, ALISTAMIENTO, PARQUEO DE LA FLOTA, QUE PERMITIRÁN LA OPTIMIZACIÓN DE LOS CICLOS DE PRODUCCIÓN Y OPERACIÓN DE LOS SERVICIOS DEL SISTEMA </w:t>
      </w:r>
      <w:r>
        <w:rPr>
          <w:rFonts w:ascii="Arial Narrow" w:eastAsia="Arial Narrow" w:hAnsi="Arial Narrow" w:cs="Arial Narrow"/>
          <w:i/>
          <w:iCs/>
          <w:sz w:val="24"/>
          <w:szCs w:val="24"/>
        </w:rPr>
        <w:lastRenderedPageBreak/>
        <w:t>ESTRATÉGICO DE TRANSPORTE PÚBLICO EN LA CIUDAD DE POPAYÁN Y SUS CONEXIONES VIALES ASOCIADAS”</w:t>
      </w:r>
    </w:p>
    <w:p w:rsidR="00FF1F16" w:rsidRDefault="00FF1F16">
      <w:pPr>
        <w:jc w:val="both"/>
        <w:rPr>
          <w:rFonts w:ascii="Arial Narrow" w:eastAsia="Arial Narrow" w:hAnsi="Arial Narrow" w:cs="Arial Narrow"/>
          <w:sz w:val="24"/>
          <w:szCs w:val="24"/>
        </w:rPr>
      </w:pPr>
    </w:p>
    <w:p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Los anteriores se</w:t>
      </w:r>
      <w:r>
        <w:rPr>
          <w:rFonts w:ascii="Arial Narrow" w:eastAsia="Arial Narrow" w:hAnsi="Arial Narrow" w:cs="Arial Narrow"/>
          <w:sz w:val="24"/>
          <w:szCs w:val="24"/>
        </w:rPr>
        <w:t>rán soportes técnicos para aplicar a la redistribución.</w:t>
      </w:r>
    </w:p>
    <w:p w:rsidR="00FF1F16" w:rsidRDefault="00FF1F16">
      <w:pPr>
        <w:jc w:val="both"/>
        <w:rPr>
          <w:rFonts w:ascii="Arial Narrow" w:eastAsia="Arial Narrow" w:hAnsi="Arial Narrow" w:cs="Arial Narrow"/>
          <w:sz w:val="24"/>
          <w:szCs w:val="24"/>
        </w:rPr>
      </w:pPr>
    </w:p>
    <w:p w:rsidR="00FF1F16" w:rsidRDefault="00FF1F16">
      <w:pPr>
        <w:jc w:val="both"/>
        <w:rPr>
          <w:rFonts w:ascii="Arial Narrow" w:eastAsia="Arial Narrow" w:hAnsi="Arial Narrow" w:cs="Arial Narrow"/>
          <w:sz w:val="24"/>
          <w:szCs w:val="24"/>
        </w:rPr>
      </w:pPr>
    </w:p>
    <w:p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 xml:space="preserve">En el año 2025 adelantó las gestiones para la viabilidad de cerramientos de los lotes de la estación de integración Occidente y el </w:t>
      </w:r>
      <w:proofErr w:type="spellStart"/>
      <w:r>
        <w:rPr>
          <w:rFonts w:ascii="Arial Narrow" w:eastAsia="Arial Narrow" w:hAnsi="Arial Narrow" w:cs="Arial Narrow"/>
          <w:sz w:val="24"/>
          <w:szCs w:val="24"/>
        </w:rPr>
        <w:t>PAtio</w:t>
      </w:r>
      <w:proofErr w:type="spellEnd"/>
      <w:r>
        <w:rPr>
          <w:rFonts w:ascii="Arial Narrow" w:eastAsia="Arial Narrow" w:hAnsi="Arial Narrow" w:cs="Arial Narrow"/>
          <w:sz w:val="24"/>
          <w:szCs w:val="24"/>
        </w:rPr>
        <w:t xml:space="preserve"> y Taller </w:t>
      </w:r>
      <w:proofErr w:type="spellStart"/>
      <w:r>
        <w:rPr>
          <w:rFonts w:ascii="Arial Narrow" w:eastAsia="Arial Narrow" w:hAnsi="Arial Narrow" w:cs="Arial Narrow"/>
          <w:sz w:val="24"/>
          <w:szCs w:val="24"/>
        </w:rPr>
        <w:t>Noste</w:t>
      </w:r>
      <w:proofErr w:type="spellEnd"/>
      <w:r>
        <w:rPr>
          <w:rFonts w:ascii="Arial Narrow" w:eastAsia="Arial Narrow" w:hAnsi="Arial Narrow" w:cs="Arial Narrow"/>
          <w:sz w:val="24"/>
          <w:szCs w:val="24"/>
        </w:rPr>
        <w:t xml:space="preserve"> con recursos municipio debido a </w:t>
      </w:r>
    </w:p>
    <w:p w:rsidR="00FF1F16" w:rsidRDefault="00FF1F16">
      <w:pPr>
        <w:pBdr>
          <w:top w:val="nil"/>
          <w:left w:val="nil"/>
          <w:bottom w:val="nil"/>
          <w:right w:val="nil"/>
          <w:between w:val="nil"/>
        </w:pBdr>
        <w:jc w:val="both"/>
        <w:rPr>
          <w:rFonts w:ascii="Arial Narrow" w:eastAsia="Arial Narrow" w:hAnsi="Arial Narrow" w:cs="Arial Narrow"/>
          <w:sz w:val="24"/>
          <w:szCs w:val="24"/>
        </w:rPr>
      </w:pPr>
    </w:p>
    <w:p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Durante el año 2025, la entidad radicó ante el Gobierno Nacional diversas propuestas para la reprogramación de sus recursos. Finalmente, se viabilizó la redistribución de componentes destinada a la construcción de la Estación de Integración Occidente y a l</w:t>
      </w:r>
      <w:r>
        <w:rPr>
          <w:rFonts w:ascii="Arial Narrow" w:eastAsia="Arial Narrow" w:hAnsi="Arial Narrow" w:cs="Arial Narrow"/>
          <w:sz w:val="24"/>
          <w:szCs w:val="24"/>
        </w:rPr>
        <w:t xml:space="preserve">a adquisición de material rodante. Con esta reprogramación de recursos dio también, la viabilidad para la firma del Otrosí No. 6 del Convenio de Cofinanciación que </w:t>
      </w:r>
      <w:proofErr w:type="spellStart"/>
      <w:r>
        <w:rPr>
          <w:rFonts w:ascii="Arial Narrow" w:eastAsia="Arial Narrow" w:hAnsi="Arial Narrow" w:cs="Arial Narrow"/>
          <w:sz w:val="24"/>
          <w:szCs w:val="24"/>
        </w:rPr>
        <w:t>extendio</w:t>
      </w:r>
      <w:proofErr w:type="spellEnd"/>
      <w:r>
        <w:rPr>
          <w:rFonts w:ascii="Arial Narrow" w:eastAsia="Arial Narrow" w:hAnsi="Arial Narrow" w:cs="Arial Narrow"/>
          <w:sz w:val="24"/>
          <w:szCs w:val="24"/>
        </w:rPr>
        <w:t xml:space="preserve"> la vida para la ejecución del proyecto hasta el año 2029, de acuerdo con la siguien</w:t>
      </w:r>
      <w:r>
        <w:rPr>
          <w:rFonts w:ascii="Arial Narrow" w:eastAsia="Arial Narrow" w:hAnsi="Arial Narrow" w:cs="Arial Narrow"/>
          <w:sz w:val="24"/>
          <w:szCs w:val="24"/>
        </w:rPr>
        <w:t>te senda presupuestal:</w:t>
      </w:r>
    </w:p>
    <w:p w:rsidR="00FF1F16" w:rsidRDefault="00FF1F16">
      <w:pPr>
        <w:jc w:val="both"/>
        <w:rPr>
          <w:rFonts w:ascii="Arial Narrow" w:eastAsia="Arial Narrow" w:hAnsi="Arial Narrow" w:cs="Arial Narrow"/>
          <w:sz w:val="24"/>
          <w:szCs w:val="24"/>
        </w:rPr>
      </w:pPr>
    </w:p>
    <w:p w:rsidR="00FF1F16" w:rsidRDefault="004A6500">
      <w:pPr>
        <w:jc w:val="both"/>
        <w:rPr>
          <w:rFonts w:ascii="Arial Narrow" w:eastAsia="Arial Narrow" w:hAnsi="Arial Narrow" w:cs="Arial Narrow"/>
          <w:sz w:val="24"/>
          <w:szCs w:val="24"/>
        </w:rPr>
      </w:pPr>
      <w:r>
        <w:rPr>
          <w:rFonts w:ascii="Arial Narrow" w:eastAsia="Arial Narrow" w:hAnsi="Arial Narrow" w:cs="Arial Narrow"/>
          <w:noProof/>
          <w:sz w:val="24"/>
          <w:szCs w:val="24"/>
        </w:rPr>
        <w:drawing>
          <wp:inline distT="114300" distB="114300" distL="114300" distR="114300">
            <wp:extent cx="5882005" cy="1866900"/>
            <wp:effectExtent l="0" t="0" r="0" b="0"/>
            <wp:docPr id="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8"/>
                    <a:srcRect/>
                    <a:stretch>
                      <a:fillRect/>
                    </a:stretch>
                  </pic:blipFill>
                  <pic:spPr>
                    <a:xfrm>
                      <a:off x="0" y="0"/>
                      <a:ext cx="5882005" cy="1866900"/>
                    </a:xfrm>
                    <a:prstGeom prst="rect">
                      <a:avLst/>
                    </a:prstGeom>
                    <a:ln/>
                  </pic:spPr>
                </pic:pic>
              </a:graphicData>
            </a:graphic>
          </wp:inline>
        </w:drawing>
      </w:r>
    </w:p>
    <w:p w:rsidR="00FF1F16" w:rsidRDefault="00FF1F16">
      <w:pPr>
        <w:jc w:val="both"/>
        <w:rPr>
          <w:rFonts w:ascii="Arial Narrow" w:eastAsia="Arial Narrow" w:hAnsi="Arial Narrow" w:cs="Arial Narrow"/>
          <w:sz w:val="24"/>
          <w:szCs w:val="24"/>
        </w:rPr>
      </w:pPr>
    </w:p>
    <w:p w:rsidR="00FF1F16" w:rsidRDefault="00FF1F16">
      <w:pPr>
        <w:pBdr>
          <w:top w:val="nil"/>
          <w:left w:val="nil"/>
          <w:bottom w:val="nil"/>
          <w:right w:val="nil"/>
          <w:between w:val="nil"/>
        </w:pBdr>
        <w:jc w:val="both"/>
        <w:rPr>
          <w:rFonts w:ascii="Arial Narrow" w:eastAsia="Arial Narrow" w:hAnsi="Arial Narrow" w:cs="Arial Narrow"/>
          <w:sz w:val="24"/>
          <w:szCs w:val="24"/>
        </w:rPr>
      </w:pPr>
    </w:p>
    <w:p w:rsidR="00FF1F16" w:rsidRDefault="004A6500">
      <w:pPr>
        <w:spacing w:before="240" w:after="240"/>
        <w:jc w:val="both"/>
        <w:rPr>
          <w:rFonts w:ascii="Arial Narrow" w:eastAsia="Arial Narrow" w:hAnsi="Arial Narrow" w:cs="Arial Narrow"/>
          <w:i/>
          <w:iCs/>
          <w:sz w:val="24"/>
          <w:szCs w:val="24"/>
        </w:rPr>
      </w:pPr>
      <w:r>
        <w:rPr>
          <w:rFonts w:ascii="Arial Narrow" w:eastAsia="Arial Narrow" w:hAnsi="Arial Narrow" w:cs="Arial Narrow"/>
          <w:b/>
          <w:bCs/>
          <w:sz w:val="24"/>
          <w:szCs w:val="24"/>
          <w:u w:val="single"/>
        </w:rPr>
        <w:t>Resultados obtenidos:</w:t>
      </w:r>
    </w:p>
    <w:p w:rsidR="00FF1F16" w:rsidRDefault="004A6500">
      <w:pPr>
        <w:numPr>
          <w:ilvl w:val="0"/>
          <w:numId w:val="6"/>
        </w:numPr>
        <w:jc w:val="both"/>
        <w:rPr>
          <w:rFonts w:ascii="Arial Narrow" w:eastAsia="Arial Narrow" w:hAnsi="Arial Narrow" w:cs="Arial Narrow"/>
          <w:sz w:val="24"/>
          <w:szCs w:val="24"/>
        </w:rPr>
      </w:pPr>
      <w:r>
        <w:rPr>
          <w:rFonts w:ascii="Arial Narrow" w:eastAsia="Arial Narrow" w:hAnsi="Arial Narrow" w:cs="Arial Narrow"/>
          <w:sz w:val="24"/>
          <w:szCs w:val="24"/>
        </w:rPr>
        <w:t>Ampliación del Convenio de Cofinanciación hasta el año 2029.</w:t>
      </w:r>
    </w:p>
    <w:p w:rsidR="00FF1F16" w:rsidRDefault="004A6500">
      <w:pPr>
        <w:numPr>
          <w:ilvl w:val="0"/>
          <w:numId w:val="6"/>
        </w:numPr>
        <w:jc w:val="both"/>
        <w:rPr>
          <w:rFonts w:ascii="Arial Narrow" w:eastAsia="Arial Narrow" w:hAnsi="Arial Narrow" w:cs="Arial Narrow"/>
          <w:sz w:val="24"/>
          <w:szCs w:val="24"/>
        </w:rPr>
      </w:pPr>
      <w:r>
        <w:rPr>
          <w:rFonts w:ascii="Arial Narrow" w:eastAsia="Arial Narrow" w:hAnsi="Arial Narrow" w:cs="Arial Narrow"/>
          <w:sz w:val="24"/>
          <w:szCs w:val="24"/>
        </w:rPr>
        <w:t>Con base en los diseños definitivos y entregables disponibles de la Estación Occidente y Patio Note, se establece la viabilidad técnica, jurídica</w:t>
      </w:r>
      <w:r>
        <w:rPr>
          <w:rFonts w:ascii="Arial Narrow" w:eastAsia="Arial Narrow" w:hAnsi="Arial Narrow" w:cs="Arial Narrow"/>
          <w:sz w:val="24"/>
          <w:szCs w:val="24"/>
        </w:rPr>
        <w:t xml:space="preserve"> y financiera para ejecutar el cerramiento perimetral de los lotes, para lo cual, la entidad adelanta el proceso para la obra civil de los cerramientos. Esta intervención se define como una medida prioritaria de control para garantizar la protección, asegu</w:t>
      </w:r>
      <w:r>
        <w:rPr>
          <w:rFonts w:ascii="Arial Narrow" w:eastAsia="Arial Narrow" w:hAnsi="Arial Narrow" w:cs="Arial Narrow"/>
          <w:sz w:val="24"/>
          <w:szCs w:val="24"/>
        </w:rPr>
        <w:t xml:space="preserve">ramiento y preservación de los predios ya adquiridos. Asimismo, actúa como una acción preventiva definitiva frente a las problemáticas críticas actuales, tales como la ocupación ilegal, el </w:t>
      </w:r>
      <w:r>
        <w:rPr>
          <w:rFonts w:ascii="Arial Narrow" w:eastAsia="Arial Narrow" w:hAnsi="Arial Narrow" w:cs="Arial Narrow"/>
          <w:sz w:val="24"/>
          <w:szCs w:val="24"/>
        </w:rPr>
        <w:lastRenderedPageBreak/>
        <w:t>vandalismo, la disposición clandestina de residuos y escombros, y l</w:t>
      </w:r>
      <w:r>
        <w:rPr>
          <w:rFonts w:ascii="Arial Narrow" w:eastAsia="Arial Narrow" w:hAnsi="Arial Narrow" w:cs="Arial Narrow"/>
          <w:sz w:val="24"/>
          <w:szCs w:val="24"/>
        </w:rPr>
        <w:t xml:space="preserve">os focos de inseguridad asociados al consumo de sustancias estupefacientes. </w:t>
      </w:r>
    </w:p>
    <w:p w:rsidR="00FF1F16" w:rsidRDefault="00FF1F16">
      <w:pPr>
        <w:jc w:val="both"/>
        <w:rPr>
          <w:rFonts w:ascii="Arial Narrow" w:eastAsia="Arial Narrow" w:hAnsi="Arial Narrow" w:cs="Arial Narrow"/>
          <w:sz w:val="24"/>
          <w:szCs w:val="24"/>
        </w:rPr>
      </w:pPr>
    </w:p>
    <w:p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Por otro lado, resulta indispensable el apoyo del Gobierno Nacional para adelantar los estudios de viabilidad y la definición técnica del material rodante de cero o bajas emision</w:t>
      </w:r>
      <w:r>
        <w:rPr>
          <w:rFonts w:ascii="Arial Narrow" w:eastAsia="Arial Narrow" w:hAnsi="Arial Narrow" w:cs="Arial Narrow"/>
          <w:sz w:val="24"/>
          <w:szCs w:val="24"/>
        </w:rPr>
        <w:t xml:space="preserve">es para la compra con recursos del Convenio de acuerdo a la reprogramación de recursos. Estos análisis servirán de soporte fundamental para sustentar la presentación de la propuesta de redistribución de componentes." </w:t>
      </w:r>
    </w:p>
    <w:p w:rsidR="00FF1F16" w:rsidRDefault="00FF1F16">
      <w:pPr>
        <w:jc w:val="both"/>
        <w:rPr>
          <w:rFonts w:ascii="Arial Narrow" w:eastAsia="Arial Narrow" w:hAnsi="Arial Narrow" w:cs="Arial Narrow"/>
          <w:sz w:val="24"/>
          <w:szCs w:val="24"/>
        </w:rPr>
      </w:pPr>
    </w:p>
    <w:p w:rsidR="00FF1F16" w:rsidRDefault="004A6500">
      <w:pPr>
        <w:rPr>
          <w:rFonts w:ascii="Arial Narrow" w:eastAsia="Arial Narrow" w:hAnsi="Arial Narrow" w:cs="Arial Narrow"/>
          <w:sz w:val="24"/>
          <w:szCs w:val="24"/>
        </w:rPr>
      </w:pPr>
      <w:r>
        <w:rPr>
          <w:rFonts w:ascii="Arial Narrow" w:eastAsia="Arial Narrow" w:hAnsi="Arial Narrow" w:cs="Arial Narrow"/>
          <w:sz w:val="24"/>
          <w:szCs w:val="24"/>
        </w:rPr>
        <w:t>Para el cumplimiento de la presentaci</w:t>
      </w:r>
      <w:r>
        <w:rPr>
          <w:rFonts w:ascii="Arial Narrow" w:eastAsia="Arial Narrow" w:hAnsi="Arial Narrow" w:cs="Arial Narrow"/>
          <w:sz w:val="24"/>
          <w:szCs w:val="24"/>
        </w:rPr>
        <w:t>ón de la redistribución se requiere el cumplimiento del artículo 172 de la Ley 2294 de 2023.</w:t>
      </w:r>
    </w:p>
    <w:p w:rsidR="00FF1F16" w:rsidRDefault="00FF1F16">
      <w:pPr>
        <w:rPr>
          <w:rFonts w:ascii="Arial Narrow" w:eastAsia="Arial Narrow" w:hAnsi="Arial Narrow" w:cs="Arial Narrow"/>
          <w:sz w:val="24"/>
          <w:szCs w:val="24"/>
        </w:rPr>
      </w:pPr>
    </w:p>
    <w:p w:rsidR="00FF1F16" w:rsidRDefault="00FF1F16">
      <w:pPr>
        <w:rPr>
          <w:rFonts w:ascii="Arial Narrow" w:eastAsia="Arial Narrow" w:hAnsi="Arial Narrow" w:cs="Arial Narrow"/>
          <w:sz w:val="24"/>
          <w:szCs w:val="24"/>
        </w:rPr>
      </w:pPr>
    </w:p>
    <w:p w:rsidR="00FF1F16" w:rsidRDefault="004A6500">
      <w:pPr>
        <w:rPr>
          <w:rFonts w:ascii="Arial Narrow" w:eastAsia="Arial Narrow" w:hAnsi="Arial Narrow" w:cs="Arial Narrow"/>
          <w:b/>
          <w:bCs/>
          <w:sz w:val="24"/>
          <w:szCs w:val="24"/>
        </w:rPr>
      </w:pPr>
      <w:r>
        <w:rPr>
          <w:rFonts w:ascii="Arial Narrow" w:eastAsia="Arial Narrow" w:hAnsi="Arial Narrow" w:cs="Arial Narrow"/>
          <w:b/>
          <w:bCs/>
          <w:sz w:val="24"/>
          <w:szCs w:val="24"/>
        </w:rPr>
        <w:t>6. TERMINAR LA INFRAESTRUCTURA FÍSICA SETP</w:t>
      </w:r>
    </w:p>
    <w:p w:rsidR="00FF1F16" w:rsidRDefault="004A6500">
      <w:pPr>
        <w:rPr>
          <w:rFonts w:ascii="Arial Narrow" w:eastAsia="Arial Narrow" w:hAnsi="Arial Narrow" w:cs="Arial Narrow"/>
          <w:color w:val="000000"/>
          <w:sz w:val="24"/>
          <w:szCs w:val="24"/>
        </w:rPr>
      </w:pPr>
      <w:bookmarkStart w:id="1" w:name="_heading=h.eoy32qijrf3h" w:colFirst="0" w:colLast="0"/>
      <w:bookmarkEnd w:id="1"/>
      <w:r>
        <w:rPr>
          <w:rFonts w:ascii="Arial Narrow" w:eastAsia="Arial Narrow" w:hAnsi="Arial Narrow" w:cs="Arial Narrow"/>
          <w:b/>
          <w:bCs/>
          <w:sz w:val="24"/>
          <w:szCs w:val="24"/>
        </w:rPr>
        <w:t>Compromiso 1:</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Terminar los procesos en curso: Patio y Taller Occidente.</w:t>
      </w:r>
    </w:p>
    <w:p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color w:val="000000"/>
          <w:sz w:val="24"/>
          <w:szCs w:val="24"/>
        </w:rPr>
        <w:t>Responsable:</w:t>
      </w:r>
      <w:r>
        <w:rPr>
          <w:rFonts w:ascii="Arial Narrow" w:eastAsia="Arial Narrow" w:hAnsi="Arial Narrow" w:cs="Arial Narrow"/>
          <w:color w:val="000000"/>
          <w:sz w:val="24"/>
          <w:szCs w:val="24"/>
        </w:rPr>
        <w:t xml:space="preserve"> Ente Gestor</w:t>
      </w:r>
    </w:p>
    <w:p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sz w:val="24"/>
          <w:szCs w:val="24"/>
        </w:rPr>
        <w:t>Fecha inicial límite:</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marzo 2026</w:t>
      </w:r>
    </w:p>
    <w:p w:rsidR="00FF1F16" w:rsidRDefault="00FF1F16">
      <w:pPr>
        <w:rPr>
          <w:rFonts w:ascii="Arial Narrow" w:eastAsia="Arial Narrow" w:hAnsi="Arial Narrow" w:cs="Arial Narrow"/>
          <w:b/>
          <w:bCs/>
          <w:sz w:val="24"/>
          <w:szCs w:val="24"/>
        </w:rPr>
      </w:pPr>
    </w:p>
    <w:p w:rsidR="00FF1F16" w:rsidRDefault="004A6500">
      <w:pPr>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Acciones adelantadas</w:t>
      </w:r>
    </w:p>
    <w:p w:rsidR="00FF1F16" w:rsidRDefault="004A6500">
      <w:pPr>
        <w:pBdr>
          <w:top w:val="nil"/>
          <w:left w:val="nil"/>
          <w:bottom w:val="nil"/>
          <w:right w:val="nil"/>
          <w:between w:val="nil"/>
        </w:pBdr>
        <w:spacing w:before="240" w:after="240"/>
        <w:jc w:val="both"/>
        <w:rPr>
          <w:rFonts w:ascii="Arial Narrow" w:eastAsia="Arial Narrow" w:hAnsi="Arial Narrow" w:cs="Arial Narrow"/>
          <w:sz w:val="24"/>
          <w:szCs w:val="24"/>
        </w:rPr>
      </w:pPr>
      <w:r>
        <w:rPr>
          <w:rFonts w:ascii="Arial Narrow" w:eastAsia="Arial Narrow" w:hAnsi="Arial Narrow" w:cs="Arial Narrow"/>
          <w:sz w:val="24"/>
          <w:szCs w:val="24"/>
        </w:rPr>
        <w:t xml:space="preserve">para el </w:t>
      </w:r>
      <w:proofErr w:type="spellStart"/>
      <w:r>
        <w:rPr>
          <w:rFonts w:ascii="Arial Narrow" w:eastAsia="Arial Narrow" w:hAnsi="Arial Narrow" w:cs="Arial Narrow"/>
          <w:sz w:val="24"/>
          <w:szCs w:val="24"/>
        </w:rPr>
        <w:t>cumplimeinto</w:t>
      </w:r>
      <w:proofErr w:type="spellEnd"/>
      <w:r>
        <w:rPr>
          <w:rFonts w:ascii="Arial Narrow" w:eastAsia="Arial Narrow" w:hAnsi="Arial Narrow" w:cs="Arial Narrow"/>
          <w:sz w:val="24"/>
          <w:szCs w:val="24"/>
        </w:rPr>
        <w:t xml:space="preserve"> de las metas del proyecto de acuerdo a la ETLF del 2019, falta por ejecutar la estación de Integración Occidente y Patio y Taller Norte, entretanto, en </w:t>
      </w:r>
      <w:proofErr w:type="gramStart"/>
      <w:r>
        <w:rPr>
          <w:rFonts w:ascii="Arial Narrow" w:eastAsia="Arial Narrow" w:hAnsi="Arial Narrow" w:cs="Arial Narrow"/>
          <w:sz w:val="24"/>
          <w:szCs w:val="24"/>
        </w:rPr>
        <w:t>la obras</w:t>
      </w:r>
      <w:proofErr w:type="gramEnd"/>
      <w:r>
        <w:rPr>
          <w:rFonts w:ascii="Arial Narrow" w:eastAsia="Arial Narrow" w:hAnsi="Arial Narrow" w:cs="Arial Narrow"/>
          <w:sz w:val="24"/>
          <w:szCs w:val="24"/>
        </w:rPr>
        <w:t xml:space="preserve"> que están ejecución, el municipio de Popayán adelantó las gestiones técnic</w:t>
      </w:r>
      <w:r>
        <w:rPr>
          <w:rFonts w:ascii="Arial Narrow" w:eastAsia="Arial Narrow" w:hAnsi="Arial Narrow" w:cs="Arial Narrow"/>
          <w:sz w:val="24"/>
          <w:szCs w:val="24"/>
        </w:rPr>
        <w:t>as, administrativas y presupuestales requeridas para garantizar la continuidad y culminación del proyecto</w:t>
      </w:r>
      <w:r>
        <w:rPr>
          <w:rFonts w:ascii="Arial Narrow" w:eastAsia="Arial Narrow" w:hAnsi="Arial Narrow" w:cs="Arial Narrow"/>
          <w:b/>
          <w:bCs/>
          <w:sz w:val="24"/>
          <w:szCs w:val="24"/>
        </w:rPr>
        <w:t xml:space="preserve"> Patio y Taller Occidente, </w:t>
      </w:r>
      <w:r>
        <w:rPr>
          <w:rFonts w:ascii="Arial Narrow" w:eastAsia="Arial Narrow" w:hAnsi="Arial Narrow" w:cs="Arial Narrow"/>
          <w:sz w:val="24"/>
          <w:szCs w:val="24"/>
        </w:rPr>
        <w:t>orientadas a asegurar los recursos necesarios para su puesta en funcionamiento y optimización.</w:t>
      </w:r>
    </w:p>
    <w:p w:rsidR="00FF1F16" w:rsidRDefault="004A6500">
      <w:pPr>
        <w:pBdr>
          <w:top w:val="nil"/>
          <w:left w:val="nil"/>
          <w:bottom w:val="nil"/>
          <w:right w:val="nil"/>
          <w:between w:val="nil"/>
        </w:pBdr>
        <w:spacing w:before="240" w:after="240"/>
        <w:jc w:val="both"/>
        <w:rPr>
          <w:rFonts w:ascii="Arial Narrow" w:eastAsia="Arial Narrow" w:hAnsi="Arial Narrow" w:cs="Arial Narrow"/>
          <w:sz w:val="24"/>
          <w:szCs w:val="24"/>
        </w:rPr>
      </w:pPr>
      <w:r>
        <w:rPr>
          <w:rFonts w:ascii="Arial Narrow" w:eastAsia="Arial Narrow" w:hAnsi="Arial Narrow" w:cs="Arial Narrow"/>
          <w:sz w:val="24"/>
          <w:szCs w:val="24"/>
        </w:rPr>
        <w:t>Como resultado de este proces</w:t>
      </w:r>
      <w:r>
        <w:rPr>
          <w:rFonts w:ascii="Arial Narrow" w:eastAsia="Arial Narrow" w:hAnsi="Arial Narrow" w:cs="Arial Narrow"/>
          <w:sz w:val="24"/>
          <w:szCs w:val="24"/>
        </w:rPr>
        <w:t>o, en diciembre de 2025 la Junta Directiva No. 94 aprobó la modificación presupuestal requerida para incorporar los recursos adicionales (fuente municipio) destinados al proyecto, permitiendo estructurar las condiciones necesarias para la reactivación cont</w:t>
      </w:r>
      <w:r>
        <w:rPr>
          <w:rFonts w:ascii="Arial Narrow" w:eastAsia="Arial Narrow" w:hAnsi="Arial Narrow" w:cs="Arial Narrow"/>
          <w:sz w:val="24"/>
          <w:szCs w:val="24"/>
        </w:rPr>
        <w:t>ractual correspondiente.</w:t>
      </w:r>
    </w:p>
    <w:p w:rsidR="00FF1F16" w:rsidRDefault="004A6500">
      <w:pPr>
        <w:pBdr>
          <w:top w:val="nil"/>
          <w:left w:val="nil"/>
          <w:bottom w:val="nil"/>
          <w:right w:val="nil"/>
          <w:between w:val="nil"/>
        </w:pBdr>
        <w:spacing w:before="240" w:after="240"/>
        <w:jc w:val="both"/>
        <w:rPr>
          <w:rFonts w:ascii="Arial Narrow" w:eastAsia="Arial Narrow" w:hAnsi="Arial Narrow" w:cs="Arial Narrow"/>
          <w:sz w:val="24"/>
          <w:szCs w:val="24"/>
        </w:rPr>
      </w:pPr>
      <w:r>
        <w:rPr>
          <w:rFonts w:ascii="Arial Narrow" w:eastAsia="Arial Narrow" w:hAnsi="Arial Narrow" w:cs="Arial Narrow"/>
          <w:sz w:val="24"/>
          <w:szCs w:val="24"/>
        </w:rPr>
        <w:t>En desarrollo de esta gestión, durante enero de 2026 se materializó el reinicio de los contratos asociados al proyecto, acompañado de la suscripción de las adiciones y prórrogas requeridas para garantizar la continuidad de las obra</w:t>
      </w:r>
      <w:r>
        <w:rPr>
          <w:rFonts w:ascii="Arial Narrow" w:eastAsia="Arial Narrow" w:hAnsi="Arial Narrow" w:cs="Arial Narrow"/>
          <w:sz w:val="24"/>
          <w:szCs w:val="24"/>
        </w:rPr>
        <w:t>s y consolidar el cronograma y presupuesto actualizado de ejecución.</w:t>
      </w:r>
    </w:p>
    <w:p w:rsidR="00FF1F16" w:rsidRDefault="004A6500">
      <w:pPr>
        <w:pBdr>
          <w:top w:val="nil"/>
          <w:left w:val="nil"/>
          <w:bottom w:val="nil"/>
          <w:right w:val="nil"/>
          <w:between w:val="nil"/>
        </w:pBdr>
        <w:spacing w:before="240" w:after="240"/>
        <w:jc w:val="both"/>
        <w:rPr>
          <w:rFonts w:ascii="Arial Narrow" w:eastAsia="Arial Narrow" w:hAnsi="Arial Narrow" w:cs="Arial Narrow"/>
          <w:sz w:val="24"/>
          <w:szCs w:val="24"/>
        </w:rPr>
      </w:pPr>
      <w:r>
        <w:rPr>
          <w:rFonts w:ascii="Arial Narrow" w:eastAsia="Arial Narrow" w:hAnsi="Arial Narrow" w:cs="Arial Narrow"/>
          <w:sz w:val="24"/>
          <w:szCs w:val="24"/>
        </w:rPr>
        <w:t>La información contractual que se presenta a continuación refleja el estado actualizado del proyecto, superando el escenario de suspensión previamente reportado y permitiendo avanzar en l</w:t>
      </w:r>
      <w:r>
        <w:rPr>
          <w:rFonts w:ascii="Arial Narrow" w:eastAsia="Arial Narrow" w:hAnsi="Arial Narrow" w:cs="Arial Narrow"/>
          <w:sz w:val="24"/>
          <w:szCs w:val="24"/>
        </w:rPr>
        <w:t>a ejecución de las actividades requeridas para la terminación de la infraestructura física asociada al SETP.</w:t>
      </w:r>
    </w:p>
    <w:p w:rsidR="00FF1F16" w:rsidRDefault="00FF1F16">
      <w:pPr>
        <w:spacing w:before="240" w:after="240"/>
        <w:jc w:val="both"/>
        <w:rPr>
          <w:rFonts w:ascii="Arial Narrow" w:eastAsia="Arial Narrow" w:hAnsi="Arial Narrow" w:cs="Arial Narrow"/>
          <w:i/>
          <w:iCs/>
          <w:sz w:val="24"/>
          <w:szCs w:val="24"/>
        </w:rPr>
      </w:pPr>
    </w:p>
    <w:tbl>
      <w:tblPr>
        <w:tblStyle w:val="a5"/>
        <w:tblW w:w="8295"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95"/>
        <w:gridCol w:w="3195"/>
        <w:gridCol w:w="435"/>
        <w:gridCol w:w="480"/>
        <w:gridCol w:w="1680"/>
        <w:gridCol w:w="630"/>
        <w:gridCol w:w="780"/>
      </w:tblGrid>
      <w:tr w:rsidR="00FF1F16">
        <w:trPr>
          <w:trHeight w:val="302"/>
        </w:trPr>
        <w:tc>
          <w:tcPr>
            <w:tcW w:w="8295" w:type="dxa"/>
            <w:gridSpan w:val="7"/>
            <w:tcBorders>
              <w:top w:val="single" w:sz="4" w:space="0" w:color="000000"/>
              <w:left w:val="single" w:sz="4" w:space="0" w:color="000000"/>
              <w:bottom w:val="single" w:sz="4" w:space="0" w:color="000000"/>
              <w:right w:val="single" w:sz="4" w:space="0" w:color="000000"/>
            </w:tcBorders>
            <w:shd w:val="clear" w:color="auto" w:fill="E7E6E6"/>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lastRenderedPageBreak/>
              <w:t>DATOS CONTRATO</w:t>
            </w:r>
          </w:p>
        </w:tc>
      </w:tr>
      <w:tr w:rsidR="00FF1F16">
        <w:trPr>
          <w:trHeight w:val="223"/>
        </w:trPr>
        <w:tc>
          <w:tcPr>
            <w:tcW w:w="8295" w:type="dxa"/>
            <w:gridSpan w:val="7"/>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CONTRATO</w:t>
            </w:r>
          </w:p>
        </w:tc>
      </w:tr>
      <w:tr w:rsidR="00FF1F16">
        <w:trPr>
          <w:trHeight w:val="303"/>
        </w:trPr>
        <w:tc>
          <w:tcPr>
            <w:tcW w:w="1095"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Número:</w:t>
            </w:r>
          </w:p>
        </w:tc>
        <w:tc>
          <w:tcPr>
            <w:tcW w:w="3195"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206</w:t>
            </w:r>
          </w:p>
        </w:tc>
        <w:tc>
          <w:tcPr>
            <w:tcW w:w="2595" w:type="dxa"/>
            <w:gridSpan w:val="3"/>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63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2022</w:t>
            </w:r>
          </w:p>
        </w:tc>
        <w:tc>
          <w:tcPr>
            <w:tcW w:w="7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w:t>
            </w:r>
          </w:p>
        </w:tc>
      </w:tr>
      <w:tr w:rsidR="00FF1F16">
        <w:trPr>
          <w:trHeight w:val="864"/>
        </w:trPr>
        <w:tc>
          <w:tcPr>
            <w:tcW w:w="8295" w:type="dxa"/>
            <w:gridSpan w:val="7"/>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Objeto: El contratista se obliga con MOVILIDAD FUTURA a la Construcción del patio y taller occidente con sus áreas asociadas como centros de operación, zona de mantenimiento, alistamiento, parqueo de la flota y sus conexiones viales asociadas para el SETP </w:t>
            </w:r>
            <w:r>
              <w:rPr>
                <w:rFonts w:ascii="Arial Narrow" w:eastAsia="Arial Narrow" w:hAnsi="Arial Narrow" w:cs="Arial Narrow"/>
                <w:color w:val="000000"/>
                <w:sz w:val="24"/>
                <w:szCs w:val="24"/>
              </w:rPr>
              <w:t>de Popayán.</w:t>
            </w:r>
          </w:p>
        </w:tc>
      </w:tr>
      <w:tr w:rsidR="00FF1F16">
        <w:trPr>
          <w:trHeight w:val="303"/>
        </w:trPr>
        <w:tc>
          <w:tcPr>
            <w:tcW w:w="8295" w:type="dxa"/>
            <w:gridSpan w:val="7"/>
            <w:tcBorders>
              <w:top w:val="single" w:sz="4" w:space="0" w:color="000000"/>
              <w:left w:val="single" w:sz="4" w:space="0" w:color="000000"/>
              <w:bottom w:val="single" w:sz="4" w:space="0" w:color="000000"/>
              <w:right w:val="single" w:sz="4" w:space="0" w:color="000000"/>
            </w:tcBorders>
            <w:shd w:val="clear" w:color="auto" w:fill="0B3040"/>
            <w:vAlign w:val="center"/>
          </w:tcPr>
          <w:p w:rsidR="00FF1F16" w:rsidRDefault="004A6500">
            <w:pPr>
              <w:pBdr>
                <w:top w:val="nil"/>
                <w:left w:val="nil"/>
                <w:bottom w:val="nil"/>
                <w:right w:val="nil"/>
                <w:between w:val="nil"/>
              </w:pBdr>
              <w:shd w:val="clear" w:color="auto" w:fill="E7E6E6"/>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INFORMACIÓN CONTRACTUAL INICIAL BASE</w:t>
            </w:r>
          </w:p>
        </w:tc>
      </w:tr>
      <w:tr w:rsidR="00FF1F16">
        <w:trPr>
          <w:trHeight w:val="303"/>
        </w:trPr>
        <w:tc>
          <w:tcPr>
            <w:tcW w:w="4290" w:type="dxa"/>
            <w:gridSpan w:val="2"/>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Fecha de inicio:</w:t>
            </w:r>
          </w:p>
        </w:tc>
        <w:tc>
          <w:tcPr>
            <w:tcW w:w="435"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31</w:t>
            </w:r>
          </w:p>
        </w:tc>
        <w:tc>
          <w:tcPr>
            <w:tcW w:w="4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16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DICIEMBRE</w:t>
            </w:r>
          </w:p>
        </w:tc>
        <w:tc>
          <w:tcPr>
            <w:tcW w:w="63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7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2022</w:t>
            </w:r>
          </w:p>
        </w:tc>
      </w:tr>
      <w:tr w:rsidR="00FF1F16">
        <w:trPr>
          <w:trHeight w:val="303"/>
        </w:trPr>
        <w:tc>
          <w:tcPr>
            <w:tcW w:w="4290" w:type="dxa"/>
            <w:gridSpan w:val="2"/>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Fecha de terminación: </w:t>
            </w:r>
          </w:p>
        </w:tc>
        <w:tc>
          <w:tcPr>
            <w:tcW w:w="435"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29</w:t>
            </w:r>
          </w:p>
        </w:tc>
        <w:tc>
          <w:tcPr>
            <w:tcW w:w="4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16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FEBRERO</w:t>
            </w:r>
          </w:p>
        </w:tc>
        <w:tc>
          <w:tcPr>
            <w:tcW w:w="63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7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2024</w:t>
            </w:r>
          </w:p>
        </w:tc>
      </w:tr>
      <w:tr w:rsidR="00FF1F16">
        <w:trPr>
          <w:trHeight w:val="303"/>
        </w:trPr>
        <w:tc>
          <w:tcPr>
            <w:tcW w:w="1095"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Duración total: </w:t>
            </w:r>
          </w:p>
        </w:tc>
        <w:tc>
          <w:tcPr>
            <w:tcW w:w="3195"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No. de días calendario/meses totales de ejecución   </w:t>
            </w:r>
          </w:p>
        </w:tc>
        <w:tc>
          <w:tcPr>
            <w:tcW w:w="435"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w:t>
            </w:r>
          </w:p>
        </w:tc>
        <w:tc>
          <w:tcPr>
            <w:tcW w:w="4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w:t>
            </w:r>
          </w:p>
        </w:tc>
        <w:tc>
          <w:tcPr>
            <w:tcW w:w="3090" w:type="dxa"/>
            <w:gridSpan w:val="3"/>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420 </w:t>
            </w:r>
            <w:proofErr w:type="gramStart"/>
            <w:r>
              <w:rPr>
                <w:rFonts w:ascii="Arial Narrow" w:eastAsia="Arial Narrow" w:hAnsi="Arial Narrow" w:cs="Arial Narrow"/>
                <w:color w:val="000000"/>
                <w:sz w:val="24"/>
                <w:szCs w:val="24"/>
              </w:rPr>
              <w:t>Días</w:t>
            </w:r>
            <w:proofErr w:type="gramEnd"/>
          </w:p>
        </w:tc>
      </w:tr>
      <w:tr w:rsidR="00FF1F16">
        <w:trPr>
          <w:trHeight w:val="303"/>
        </w:trPr>
        <w:tc>
          <w:tcPr>
            <w:tcW w:w="4290" w:type="dxa"/>
            <w:gridSpan w:val="2"/>
            <w:tcBorders>
              <w:top w:val="single" w:sz="4" w:space="0" w:color="000000"/>
              <w:left w:val="single" w:sz="4" w:space="0" w:color="000000"/>
              <w:bottom w:val="single" w:sz="4" w:space="0" w:color="000000"/>
              <w:right w:val="single" w:sz="4" w:space="0" w:color="000000"/>
            </w:tcBorders>
            <w:vAlign w:val="bottom"/>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sz w:val="24"/>
                <w:szCs w:val="24"/>
              </w:rPr>
              <w:t xml:space="preserve">Valor inicial del contrato </w:t>
            </w:r>
          </w:p>
        </w:tc>
        <w:tc>
          <w:tcPr>
            <w:tcW w:w="4005" w:type="dxa"/>
            <w:gridSpan w:val="5"/>
            <w:tcBorders>
              <w:top w:val="single" w:sz="4" w:space="0" w:color="000000"/>
              <w:left w:val="single" w:sz="4" w:space="0" w:color="000000"/>
              <w:bottom w:val="single" w:sz="4" w:space="0" w:color="000000"/>
              <w:right w:val="single" w:sz="4" w:space="0" w:color="000000"/>
            </w:tcBorders>
            <w:vAlign w:val="bottom"/>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sz w:val="24"/>
                <w:szCs w:val="24"/>
              </w:rPr>
              <w:t xml:space="preserve">                                                $ 14.217.009.306</w:t>
            </w:r>
          </w:p>
        </w:tc>
      </w:tr>
      <w:tr w:rsidR="00FF1F16">
        <w:trPr>
          <w:trHeight w:val="303"/>
        </w:trPr>
        <w:tc>
          <w:tcPr>
            <w:tcW w:w="4290" w:type="dxa"/>
            <w:gridSpan w:val="2"/>
            <w:tcBorders>
              <w:top w:val="single" w:sz="4" w:space="0" w:color="000000"/>
              <w:left w:val="single" w:sz="4" w:space="0" w:color="000000"/>
              <w:bottom w:val="single" w:sz="4" w:space="0" w:color="000000"/>
              <w:right w:val="single" w:sz="4" w:space="0" w:color="000000"/>
            </w:tcBorders>
            <w:vAlign w:val="bottom"/>
          </w:tcPr>
          <w:p w:rsidR="00FF1F16" w:rsidRDefault="004A6500">
            <w:pPr>
              <w:pBdr>
                <w:top w:val="nil"/>
                <w:left w:val="nil"/>
                <w:bottom w:val="nil"/>
                <w:right w:val="nil"/>
                <w:between w:val="nil"/>
              </w:pBdr>
              <w:spacing w:line="240" w:lineRule="auto"/>
              <w:rPr>
                <w:rFonts w:ascii="Arial Narrow" w:eastAsia="Arial Narrow" w:hAnsi="Arial Narrow" w:cs="Arial Narrow"/>
                <w:b/>
                <w:bCs/>
                <w:sz w:val="24"/>
                <w:szCs w:val="24"/>
              </w:rPr>
            </w:pPr>
            <w:r>
              <w:rPr>
                <w:rFonts w:ascii="Arial Narrow" w:eastAsia="Arial Narrow" w:hAnsi="Arial Narrow" w:cs="Arial Narrow"/>
                <w:b/>
                <w:bCs/>
                <w:sz w:val="24"/>
                <w:szCs w:val="24"/>
              </w:rPr>
              <w:t xml:space="preserve">Valor adicional 1 </w:t>
            </w:r>
          </w:p>
        </w:tc>
        <w:tc>
          <w:tcPr>
            <w:tcW w:w="4005" w:type="dxa"/>
            <w:gridSpan w:val="5"/>
            <w:tcBorders>
              <w:top w:val="single" w:sz="4" w:space="0" w:color="000000"/>
              <w:left w:val="single" w:sz="4" w:space="0" w:color="000000"/>
              <w:bottom w:val="single" w:sz="4" w:space="0" w:color="000000"/>
              <w:right w:val="single" w:sz="4" w:space="0" w:color="000000"/>
            </w:tcBorders>
            <w:vAlign w:val="bottom"/>
          </w:tcPr>
          <w:p w:rsidR="00FF1F16" w:rsidRDefault="004A6500">
            <w:pPr>
              <w:pBdr>
                <w:top w:val="nil"/>
                <w:left w:val="nil"/>
                <w:bottom w:val="nil"/>
                <w:right w:val="nil"/>
                <w:between w:val="nil"/>
              </w:pBd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 xml:space="preserve">                                                </w:t>
            </w:r>
            <w:r>
              <w:rPr>
                <w:rFonts w:ascii="Arial Narrow" w:eastAsia="Arial Narrow" w:hAnsi="Arial Narrow" w:cs="Arial Narrow"/>
                <w:b/>
                <w:bCs/>
                <w:sz w:val="24"/>
                <w:szCs w:val="24"/>
              </w:rPr>
              <w:t>$   4.084.205.966</w:t>
            </w:r>
          </w:p>
        </w:tc>
      </w:tr>
      <w:tr w:rsidR="00FF1F16">
        <w:trPr>
          <w:trHeight w:val="303"/>
        </w:trPr>
        <w:tc>
          <w:tcPr>
            <w:tcW w:w="4290" w:type="dxa"/>
            <w:gridSpan w:val="2"/>
            <w:tcBorders>
              <w:top w:val="single" w:sz="4" w:space="0" w:color="000000"/>
              <w:left w:val="single" w:sz="4" w:space="0" w:color="000000"/>
              <w:bottom w:val="single" w:sz="4" w:space="0" w:color="000000"/>
              <w:right w:val="single" w:sz="4" w:space="0" w:color="000000"/>
            </w:tcBorders>
            <w:vAlign w:val="bottom"/>
          </w:tcPr>
          <w:p w:rsidR="00FF1F16" w:rsidRDefault="004A6500">
            <w:pPr>
              <w:pBdr>
                <w:top w:val="nil"/>
                <w:left w:val="nil"/>
                <w:bottom w:val="nil"/>
                <w:right w:val="nil"/>
                <w:between w:val="nil"/>
              </w:pBdr>
              <w:spacing w:line="240" w:lineRule="auto"/>
              <w:rPr>
                <w:rFonts w:ascii="Arial Narrow" w:eastAsia="Arial Narrow" w:hAnsi="Arial Narrow" w:cs="Arial Narrow"/>
                <w:b/>
                <w:bCs/>
                <w:sz w:val="24"/>
                <w:szCs w:val="24"/>
              </w:rPr>
            </w:pPr>
            <w:r>
              <w:rPr>
                <w:rFonts w:ascii="Arial Narrow" w:eastAsia="Arial Narrow" w:hAnsi="Arial Narrow" w:cs="Arial Narrow"/>
                <w:b/>
                <w:bCs/>
                <w:sz w:val="24"/>
                <w:szCs w:val="24"/>
              </w:rPr>
              <w:t xml:space="preserve">Valor total del contrato </w:t>
            </w:r>
          </w:p>
        </w:tc>
        <w:tc>
          <w:tcPr>
            <w:tcW w:w="4005" w:type="dxa"/>
            <w:gridSpan w:val="5"/>
            <w:tcBorders>
              <w:top w:val="single" w:sz="4" w:space="0" w:color="000000"/>
              <w:left w:val="single" w:sz="4" w:space="0" w:color="000000"/>
              <w:bottom w:val="single" w:sz="4" w:space="0" w:color="000000"/>
              <w:right w:val="single" w:sz="4" w:space="0" w:color="000000"/>
            </w:tcBorders>
            <w:vAlign w:val="bottom"/>
          </w:tcPr>
          <w:p w:rsidR="00FF1F16" w:rsidRDefault="004A6500">
            <w:pPr>
              <w:pBdr>
                <w:top w:val="nil"/>
                <w:left w:val="nil"/>
                <w:bottom w:val="nil"/>
                <w:right w:val="nil"/>
                <w:between w:val="nil"/>
              </w:pBdr>
              <w:spacing w:line="240" w:lineRule="auto"/>
              <w:rPr>
                <w:rFonts w:ascii="Arial Narrow" w:eastAsia="Arial Narrow" w:hAnsi="Arial Narrow" w:cs="Arial Narrow"/>
                <w:b/>
                <w:bCs/>
                <w:sz w:val="24"/>
                <w:szCs w:val="24"/>
              </w:rPr>
            </w:pPr>
            <w:r>
              <w:rPr>
                <w:rFonts w:ascii="Arial Narrow" w:eastAsia="Arial Narrow" w:hAnsi="Arial Narrow" w:cs="Arial Narrow"/>
                <w:b/>
                <w:bCs/>
                <w:sz w:val="24"/>
                <w:szCs w:val="24"/>
              </w:rPr>
              <w:t xml:space="preserve">                                                $ 18.301.215.272</w:t>
            </w:r>
          </w:p>
        </w:tc>
      </w:tr>
      <w:tr w:rsidR="00FF1F16">
        <w:trPr>
          <w:trHeight w:val="303"/>
        </w:trPr>
        <w:tc>
          <w:tcPr>
            <w:tcW w:w="8295" w:type="dxa"/>
            <w:gridSpan w:val="7"/>
            <w:tcBorders>
              <w:top w:val="single" w:sz="4" w:space="0" w:color="000000"/>
              <w:left w:val="single" w:sz="4" w:space="0" w:color="000000"/>
              <w:bottom w:val="single" w:sz="4" w:space="0" w:color="000000"/>
              <w:right w:val="single" w:sz="4" w:space="0" w:color="000000"/>
            </w:tcBorders>
            <w:shd w:val="clear" w:color="auto" w:fill="0B3040"/>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CONTRACTUALES</w:t>
            </w:r>
          </w:p>
        </w:tc>
      </w:tr>
      <w:tr w:rsidR="00FF1F16">
        <w:trPr>
          <w:trHeight w:val="303"/>
        </w:trPr>
        <w:tc>
          <w:tcPr>
            <w:tcW w:w="8295" w:type="dxa"/>
            <w:gridSpan w:val="7"/>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Suspensión </w:t>
            </w:r>
            <w:r>
              <w:rPr>
                <w:rFonts w:ascii="Arial Narrow" w:eastAsia="Arial Narrow" w:hAnsi="Arial Narrow" w:cs="Arial Narrow"/>
                <w:sz w:val="24"/>
                <w:szCs w:val="24"/>
              </w:rPr>
              <w:t>No 1</w:t>
            </w:r>
          </w:p>
        </w:tc>
      </w:tr>
      <w:tr w:rsidR="00FF1F16">
        <w:trPr>
          <w:trHeight w:val="318"/>
        </w:trPr>
        <w:tc>
          <w:tcPr>
            <w:tcW w:w="4290" w:type="dxa"/>
            <w:gridSpan w:val="2"/>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Fecha de inicio de la suspensión:</w:t>
            </w:r>
          </w:p>
        </w:tc>
        <w:tc>
          <w:tcPr>
            <w:tcW w:w="435"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09</w:t>
            </w:r>
          </w:p>
        </w:tc>
        <w:tc>
          <w:tcPr>
            <w:tcW w:w="4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16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FEBRERO</w:t>
            </w:r>
          </w:p>
        </w:tc>
        <w:tc>
          <w:tcPr>
            <w:tcW w:w="63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7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2024</w:t>
            </w:r>
          </w:p>
        </w:tc>
      </w:tr>
      <w:tr w:rsidR="00FF1F16">
        <w:trPr>
          <w:trHeight w:val="318"/>
        </w:trPr>
        <w:tc>
          <w:tcPr>
            <w:tcW w:w="4290" w:type="dxa"/>
            <w:gridSpan w:val="2"/>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Fecha de terminación de la suspensión:</w:t>
            </w:r>
          </w:p>
        </w:tc>
        <w:tc>
          <w:tcPr>
            <w:tcW w:w="435"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25</w:t>
            </w:r>
          </w:p>
        </w:tc>
        <w:tc>
          <w:tcPr>
            <w:tcW w:w="4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16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SEPTIEMBRE</w:t>
            </w:r>
          </w:p>
        </w:tc>
        <w:tc>
          <w:tcPr>
            <w:tcW w:w="63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7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2024</w:t>
            </w:r>
          </w:p>
        </w:tc>
      </w:tr>
      <w:tr w:rsidR="00FF1F16">
        <w:trPr>
          <w:trHeight w:val="378"/>
        </w:trPr>
        <w:tc>
          <w:tcPr>
            <w:tcW w:w="4290" w:type="dxa"/>
            <w:gridSpan w:val="2"/>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Nueva Fecha de terminación contrato: </w:t>
            </w:r>
          </w:p>
        </w:tc>
        <w:tc>
          <w:tcPr>
            <w:tcW w:w="435"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15</w:t>
            </w:r>
          </w:p>
        </w:tc>
        <w:tc>
          <w:tcPr>
            <w:tcW w:w="4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16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OCTUBRE</w:t>
            </w:r>
          </w:p>
        </w:tc>
        <w:tc>
          <w:tcPr>
            <w:tcW w:w="63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7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2024</w:t>
            </w:r>
          </w:p>
        </w:tc>
      </w:tr>
      <w:tr w:rsidR="00FF1F16">
        <w:trPr>
          <w:trHeight w:val="303"/>
        </w:trPr>
        <w:tc>
          <w:tcPr>
            <w:tcW w:w="8295" w:type="dxa"/>
            <w:gridSpan w:val="7"/>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sz w:val="24"/>
                <w:szCs w:val="24"/>
              </w:rPr>
              <w:t xml:space="preserve">Prorroga No. 1 </w:t>
            </w:r>
          </w:p>
        </w:tc>
      </w:tr>
      <w:tr w:rsidR="00FF1F16">
        <w:trPr>
          <w:trHeight w:val="318"/>
        </w:trPr>
        <w:tc>
          <w:tcPr>
            <w:tcW w:w="4290" w:type="dxa"/>
            <w:gridSpan w:val="2"/>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Fecha de inicio de la prórroga:</w:t>
            </w:r>
          </w:p>
        </w:tc>
        <w:tc>
          <w:tcPr>
            <w:tcW w:w="435"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15</w:t>
            </w:r>
          </w:p>
        </w:tc>
        <w:tc>
          <w:tcPr>
            <w:tcW w:w="4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16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OCTUBRE</w:t>
            </w:r>
          </w:p>
        </w:tc>
        <w:tc>
          <w:tcPr>
            <w:tcW w:w="63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7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2024</w:t>
            </w:r>
          </w:p>
        </w:tc>
      </w:tr>
      <w:tr w:rsidR="00FF1F16">
        <w:trPr>
          <w:trHeight w:val="318"/>
        </w:trPr>
        <w:tc>
          <w:tcPr>
            <w:tcW w:w="4290" w:type="dxa"/>
            <w:gridSpan w:val="2"/>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Fecha de terminación de la prórroga:</w:t>
            </w:r>
          </w:p>
        </w:tc>
        <w:tc>
          <w:tcPr>
            <w:tcW w:w="435"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15</w:t>
            </w:r>
          </w:p>
        </w:tc>
        <w:tc>
          <w:tcPr>
            <w:tcW w:w="4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16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NOVIEMBRE</w:t>
            </w:r>
          </w:p>
        </w:tc>
        <w:tc>
          <w:tcPr>
            <w:tcW w:w="63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7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2024</w:t>
            </w:r>
          </w:p>
        </w:tc>
      </w:tr>
      <w:tr w:rsidR="00FF1F16">
        <w:trPr>
          <w:trHeight w:val="303"/>
        </w:trPr>
        <w:tc>
          <w:tcPr>
            <w:tcW w:w="8295" w:type="dxa"/>
            <w:gridSpan w:val="7"/>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Suspensión </w:t>
            </w:r>
            <w:r>
              <w:rPr>
                <w:rFonts w:ascii="Arial Narrow" w:eastAsia="Arial Narrow" w:hAnsi="Arial Narrow" w:cs="Arial Narrow"/>
                <w:sz w:val="24"/>
                <w:szCs w:val="24"/>
              </w:rPr>
              <w:t>No 2</w:t>
            </w:r>
          </w:p>
        </w:tc>
      </w:tr>
      <w:tr w:rsidR="00FF1F16">
        <w:trPr>
          <w:trHeight w:val="318"/>
        </w:trPr>
        <w:tc>
          <w:tcPr>
            <w:tcW w:w="4290" w:type="dxa"/>
            <w:gridSpan w:val="2"/>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Fecha de inicio de la suspensión:</w:t>
            </w:r>
          </w:p>
        </w:tc>
        <w:tc>
          <w:tcPr>
            <w:tcW w:w="435"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14</w:t>
            </w:r>
          </w:p>
        </w:tc>
        <w:tc>
          <w:tcPr>
            <w:tcW w:w="4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16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NOVIEMBRE</w:t>
            </w:r>
          </w:p>
        </w:tc>
        <w:tc>
          <w:tcPr>
            <w:tcW w:w="63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7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2024</w:t>
            </w:r>
          </w:p>
        </w:tc>
      </w:tr>
      <w:tr w:rsidR="00FF1F16">
        <w:trPr>
          <w:trHeight w:val="318"/>
        </w:trPr>
        <w:tc>
          <w:tcPr>
            <w:tcW w:w="4290" w:type="dxa"/>
            <w:gridSpan w:val="2"/>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Fecha de terminación de la suspensión:</w:t>
            </w:r>
          </w:p>
        </w:tc>
        <w:tc>
          <w:tcPr>
            <w:tcW w:w="435"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07</w:t>
            </w:r>
          </w:p>
        </w:tc>
        <w:tc>
          <w:tcPr>
            <w:tcW w:w="4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16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ABRIL</w:t>
            </w:r>
          </w:p>
        </w:tc>
        <w:tc>
          <w:tcPr>
            <w:tcW w:w="63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7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2025</w:t>
            </w:r>
          </w:p>
        </w:tc>
      </w:tr>
      <w:tr w:rsidR="00FF1F16">
        <w:trPr>
          <w:trHeight w:val="378"/>
        </w:trPr>
        <w:tc>
          <w:tcPr>
            <w:tcW w:w="4290" w:type="dxa"/>
            <w:gridSpan w:val="2"/>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Nueva Fecha de terminación contrato: </w:t>
            </w:r>
          </w:p>
        </w:tc>
        <w:tc>
          <w:tcPr>
            <w:tcW w:w="435"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08</w:t>
            </w:r>
          </w:p>
        </w:tc>
        <w:tc>
          <w:tcPr>
            <w:tcW w:w="4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16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ABRIL</w:t>
            </w:r>
          </w:p>
        </w:tc>
        <w:tc>
          <w:tcPr>
            <w:tcW w:w="63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7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2025</w:t>
            </w:r>
          </w:p>
        </w:tc>
      </w:tr>
      <w:tr w:rsidR="00FF1F16">
        <w:trPr>
          <w:trHeight w:val="303"/>
        </w:trPr>
        <w:tc>
          <w:tcPr>
            <w:tcW w:w="8295" w:type="dxa"/>
            <w:gridSpan w:val="7"/>
            <w:tcBorders>
              <w:top w:val="single" w:sz="4" w:space="0" w:color="000000"/>
              <w:left w:val="single" w:sz="4" w:space="0" w:color="000000"/>
              <w:bottom w:val="single" w:sz="4" w:space="0" w:color="000000"/>
              <w:right w:val="single" w:sz="4" w:space="0" w:color="000000"/>
            </w:tcBorders>
            <w:vAlign w:val="center"/>
          </w:tcPr>
          <w:p w:rsidR="00FF1F16" w:rsidRDefault="004A6500">
            <w:pPr>
              <w:spacing w:line="240" w:lineRule="auto"/>
              <w:rPr>
                <w:rFonts w:ascii="Arial Narrow" w:eastAsia="Arial Narrow" w:hAnsi="Arial Narrow" w:cs="Arial Narrow"/>
                <w:color w:val="000000"/>
                <w:sz w:val="24"/>
                <w:szCs w:val="24"/>
              </w:rPr>
            </w:pPr>
            <w:r>
              <w:rPr>
                <w:rFonts w:ascii="Arial Narrow" w:eastAsia="Arial Narrow" w:hAnsi="Arial Narrow" w:cs="Arial Narrow"/>
                <w:sz w:val="24"/>
                <w:szCs w:val="24"/>
              </w:rPr>
              <w:t xml:space="preserve">Prorroga No. 2 </w:t>
            </w:r>
          </w:p>
        </w:tc>
      </w:tr>
      <w:tr w:rsidR="00FF1F16">
        <w:trPr>
          <w:trHeight w:val="318"/>
        </w:trPr>
        <w:tc>
          <w:tcPr>
            <w:tcW w:w="4290" w:type="dxa"/>
            <w:gridSpan w:val="2"/>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Fecha de inicio de la prórroga:</w:t>
            </w:r>
          </w:p>
        </w:tc>
        <w:tc>
          <w:tcPr>
            <w:tcW w:w="435"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08</w:t>
            </w:r>
          </w:p>
        </w:tc>
        <w:tc>
          <w:tcPr>
            <w:tcW w:w="4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16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ABRIL</w:t>
            </w:r>
          </w:p>
        </w:tc>
        <w:tc>
          <w:tcPr>
            <w:tcW w:w="63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7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2025</w:t>
            </w:r>
          </w:p>
        </w:tc>
      </w:tr>
      <w:tr w:rsidR="00FF1F16">
        <w:trPr>
          <w:trHeight w:val="318"/>
        </w:trPr>
        <w:tc>
          <w:tcPr>
            <w:tcW w:w="4290" w:type="dxa"/>
            <w:gridSpan w:val="2"/>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Fecha de terminación de la prórroga:</w:t>
            </w:r>
          </w:p>
        </w:tc>
        <w:tc>
          <w:tcPr>
            <w:tcW w:w="435"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25</w:t>
            </w:r>
          </w:p>
        </w:tc>
        <w:tc>
          <w:tcPr>
            <w:tcW w:w="4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16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AGOSTO</w:t>
            </w:r>
          </w:p>
        </w:tc>
        <w:tc>
          <w:tcPr>
            <w:tcW w:w="63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7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2025</w:t>
            </w:r>
          </w:p>
        </w:tc>
      </w:tr>
      <w:tr w:rsidR="00FF1F16">
        <w:trPr>
          <w:trHeight w:val="318"/>
        </w:trPr>
        <w:tc>
          <w:tcPr>
            <w:tcW w:w="8295" w:type="dxa"/>
            <w:gridSpan w:val="7"/>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Suspensión </w:t>
            </w:r>
            <w:r>
              <w:rPr>
                <w:rFonts w:ascii="Arial Narrow" w:eastAsia="Arial Narrow" w:hAnsi="Arial Narrow" w:cs="Arial Narrow"/>
                <w:sz w:val="24"/>
                <w:szCs w:val="24"/>
              </w:rPr>
              <w:t>No 3</w:t>
            </w:r>
          </w:p>
        </w:tc>
      </w:tr>
      <w:tr w:rsidR="00FF1F16">
        <w:trPr>
          <w:trHeight w:val="318"/>
        </w:trPr>
        <w:tc>
          <w:tcPr>
            <w:tcW w:w="4290" w:type="dxa"/>
            <w:gridSpan w:val="2"/>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Fecha de inicio de la suspensión:</w:t>
            </w:r>
          </w:p>
        </w:tc>
        <w:tc>
          <w:tcPr>
            <w:tcW w:w="435"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25</w:t>
            </w:r>
          </w:p>
        </w:tc>
        <w:tc>
          <w:tcPr>
            <w:tcW w:w="4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16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AGOSTO</w:t>
            </w:r>
          </w:p>
        </w:tc>
        <w:tc>
          <w:tcPr>
            <w:tcW w:w="63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de</w:t>
            </w:r>
          </w:p>
        </w:tc>
        <w:tc>
          <w:tcPr>
            <w:tcW w:w="7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2025</w:t>
            </w:r>
          </w:p>
        </w:tc>
      </w:tr>
      <w:tr w:rsidR="00FF1F16">
        <w:trPr>
          <w:trHeight w:val="318"/>
        </w:trPr>
        <w:tc>
          <w:tcPr>
            <w:tcW w:w="4290" w:type="dxa"/>
            <w:gridSpan w:val="2"/>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sz w:val="24"/>
                <w:szCs w:val="24"/>
              </w:rPr>
              <w:t xml:space="preserve">Fecha de terminación de la suspensión </w:t>
            </w:r>
          </w:p>
        </w:tc>
        <w:tc>
          <w:tcPr>
            <w:tcW w:w="435"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sz w:val="24"/>
                <w:szCs w:val="24"/>
              </w:rPr>
              <w:t>09</w:t>
            </w:r>
          </w:p>
        </w:tc>
        <w:tc>
          <w:tcPr>
            <w:tcW w:w="4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sz w:val="24"/>
                <w:szCs w:val="24"/>
              </w:rPr>
              <w:t xml:space="preserve">de </w:t>
            </w:r>
          </w:p>
        </w:tc>
        <w:tc>
          <w:tcPr>
            <w:tcW w:w="16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sz w:val="24"/>
                <w:szCs w:val="24"/>
              </w:rPr>
              <w:t>ENERO</w:t>
            </w:r>
          </w:p>
        </w:tc>
        <w:tc>
          <w:tcPr>
            <w:tcW w:w="63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sz w:val="24"/>
                <w:szCs w:val="24"/>
              </w:rPr>
              <w:t xml:space="preserve">de </w:t>
            </w:r>
          </w:p>
        </w:tc>
        <w:tc>
          <w:tcPr>
            <w:tcW w:w="7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color w:val="000000"/>
                <w:sz w:val="24"/>
                <w:szCs w:val="24"/>
              </w:rPr>
            </w:pPr>
            <w:r>
              <w:rPr>
                <w:rFonts w:ascii="Arial Narrow" w:eastAsia="Arial Narrow" w:hAnsi="Arial Narrow" w:cs="Arial Narrow"/>
                <w:sz w:val="24"/>
                <w:szCs w:val="24"/>
              </w:rPr>
              <w:t>2026</w:t>
            </w:r>
          </w:p>
        </w:tc>
      </w:tr>
      <w:tr w:rsidR="00FF1F16">
        <w:trPr>
          <w:trHeight w:val="318"/>
        </w:trPr>
        <w:tc>
          <w:tcPr>
            <w:tcW w:w="8295" w:type="dxa"/>
            <w:gridSpan w:val="7"/>
            <w:tcBorders>
              <w:top w:val="single" w:sz="4" w:space="0" w:color="000000"/>
              <w:left w:val="single" w:sz="4" w:space="0" w:color="000000"/>
              <w:bottom w:val="single" w:sz="4" w:space="0" w:color="000000"/>
              <w:right w:val="single" w:sz="4" w:space="0" w:color="000000"/>
            </w:tcBorders>
            <w:vAlign w:val="center"/>
          </w:tcPr>
          <w:p w:rsidR="00FF1F16" w:rsidRDefault="004A6500">
            <w:pP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Prorroga No. 3 y Adición 1</w:t>
            </w:r>
          </w:p>
        </w:tc>
      </w:tr>
      <w:tr w:rsidR="00FF1F16">
        <w:trPr>
          <w:trHeight w:val="318"/>
        </w:trPr>
        <w:tc>
          <w:tcPr>
            <w:tcW w:w="4290" w:type="dxa"/>
            <w:gridSpan w:val="2"/>
            <w:tcBorders>
              <w:top w:val="single" w:sz="4" w:space="0" w:color="000000"/>
              <w:left w:val="single" w:sz="4" w:space="0" w:color="000000"/>
              <w:bottom w:val="single" w:sz="4" w:space="0" w:color="000000"/>
              <w:right w:val="single" w:sz="4" w:space="0" w:color="000000"/>
            </w:tcBorders>
            <w:vAlign w:val="center"/>
          </w:tcPr>
          <w:p w:rsidR="00FF1F16" w:rsidRDefault="004A6500">
            <w:pPr>
              <w:spacing w:line="240" w:lineRule="auto"/>
              <w:rPr>
                <w:rFonts w:ascii="Arial Narrow" w:eastAsia="Arial Narrow" w:hAnsi="Arial Narrow" w:cs="Arial Narrow"/>
                <w:sz w:val="24"/>
                <w:szCs w:val="24"/>
              </w:rPr>
            </w:pPr>
            <w:r>
              <w:rPr>
                <w:rFonts w:ascii="Arial Narrow" w:eastAsia="Arial Narrow" w:hAnsi="Arial Narrow" w:cs="Arial Narrow"/>
                <w:sz w:val="24"/>
                <w:szCs w:val="24"/>
              </w:rPr>
              <w:lastRenderedPageBreak/>
              <w:t>Fecha de inicio de la prórroga:</w:t>
            </w:r>
          </w:p>
        </w:tc>
        <w:tc>
          <w:tcPr>
            <w:tcW w:w="435"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13</w:t>
            </w:r>
          </w:p>
        </w:tc>
        <w:tc>
          <w:tcPr>
            <w:tcW w:w="4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 xml:space="preserve">de </w:t>
            </w:r>
          </w:p>
        </w:tc>
        <w:tc>
          <w:tcPr>
            <w:tcW w:w="16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ENERO</w:t>
            </w:r>
          </w:p>
        </w:tc>
        <w:tc>
          <w:tcPr>
            <w:tcW w:w="63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 xml:space="preserve">de </w:t>
            </w:r>
          </w:p>
        </w:tc>
        <w:tc>
          <w:tcPr>
            <w:tcW w:w="7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2026</w:t>
            </w:r>
          </w:p>
        </w:tc>
      </w:tr>
      <w:tr w:rsidR="00FF1F16">
        <w:trPr>
          <w:trHeight w:val="318"/>
        </w:trPr>
        <w:tc>
          <w:tcPr>
            <w:tcW w:w="4290" w:type="dxa"/>
            <w:gridSpan w:val="2"/>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 xml:space="preserve">FECHA DE TERMINACIÓN </w:t>
            </w:r>
          </w:p>
        </w:tc>
        <w:tc>
          <w:tcPr>
            <w:tcW w:w="435"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08</w:t>
            </w:r>
          </w:p>
        </w:tc>
        <w:tc>
          <w:tcPr>
            <w:tcW w:w="4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 xml:space="preserve">de </w:t>
            </w:r>
          </w:p>
        </w:tc>
        <w:tc>
          <w:tcPr>
            <w:tcW w:w="16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MAYO</w:t>
            </w:r>
          </w:p>
        </w:tc>
        <w:tc>
          <w:tcPr>
            <w:tcW w:w="63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 xml:space="preserve">de </w:t>
            </w:r>
          </w:p>
        </w:tc>
        <w:tc>
          <w:tcPr>
            <w:tcW w:w="7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 xml:space="preserve">2026 </w:t>
            </w:r>
          </w:p>
        </w:tc>
      </w:tr>
      <w:tr w:rsidR="00FF1F16">
        <w:trPr>
          <w:trHeight w:val="318"/>
        </w:trPr>
        <w:tc>
          <w:tcPr>
            <w:tcW w:w="4290" w:type="dxa"/>
            <w:gridSpan w:val="2"/>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b/>
                <w:bCs/>
                <w:sz w:val="24"/>
                <w:szCs w:val="24"/>
              </w:rPr>
            </w:pPr>
            <w:r>
              <w:rPr>
                <w:rFonts w:ascii="Arial Narrow" w:eastAsia="Arial Narrow" w:hAnsi="Arial Narrow" w:cs="Arial Narrow"/>
                <w:b/>
                <w:bCs/>
                <w:sz w:val="24"/>
                <w:szCs w:val="24"/>
              </w:rPr>
              <w:t xml:space="preserve">FECHA DE SUSPENSIÓN </w:t>
            </w:r>
          </w:p>
        </w:tc>
        <w:tc>
          <w:tcPr>
            <w:tcW w:w="435"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b/>
                <w:bCs/>
                <w:sz w:val="24"/>
                <w:szCs w:val="24"/>
              </w:rPr>
            </w:pPr>
            <w:r>
              <w:rPr>
                <w:rFonts w:ascii="Arial Narrow" w:eastAsia="Arial Narrow" w:hAnsi="Arial Narrow" w:cs="Arial Narrow"/>
                <w:b/>
                <w:bCs/>
                <w:sz w:val="24"/>
                <w:szCs w:val="24"/>
              </w:rPr>
              <w:t>04</w:t>
            </w:r>
          </w:p>
        </w:tc>
        <w:tc>
          <w:tcPr>
            <w:tcW w:w="4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b/>
                <w:bCs/>
                <w:sz w:val="24"/>
                <w:szCs w:val="24"/>
              </w:rPr>
            </w:pPr>
            <w:r>
              <w:rPr>
                <w:rFonts w:ascii="Arial Narrow" w:eastAsia="Arial Narrow" w:hAnsi="Arial Narrow" w:cs="Arial Narrow"/>
                <w:b/>
                <w:bCs/>
                <w:sz w:val="24"/>
                <w:szCs w:val="24"/>
              </w:rPr>
              <w:t>de</w:t>
            </w:r>
          </w:p>
        </w:tc>
        <w:tc>
          <w:tcPr>
            <w:tcW w:w="16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b/>
                <w:bCs/>
                <w:sz w:val="24"/>
                <w:szCs w:val="24"/>
              </w:rPr>
            </w:pPr>
            <w:r>
              <w:rPr>
                <w:rFonts w:ascii="Arial Narrow" w:eastAsia="Arial Narrow" w:hAnsi="Arial Narrow" w:cs="Arial Narrow"/>
                <w:b/>
                <w:bCs/>
                <w:sz w:val="24"/>
                <w:szCs w:val="24"/>
              </w:rPr>
              <w:t>MAYO</w:t>
            </w:r>
          </w:p>
        </w:tc>
        <w:tc>
          <w:tcPr>
            <w:tcW w:w="63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b/>
                <w:bCs/>
                <w:sz w:val="24"/>
                <w:szCs w:val="24"/>
              </w:rPr>
            </w:pPr>
            <w:r>
              <w:rPr>
                <w:rFonts w:ascii="Arial Narrow" w:eastAsia="Arial Narrow" w:hAnsi="Arial Narrow" w:cs="Arial Narrow"/>
                <w:b/>
                <w:bCs/>
                <w:sz w:val="24"/>
                <w:szCs w:val="24"/>
              </w:rPr>
              <w:t>de</w:t>
            </w:r>
          </w:p>
        </w:tc>
        <w:tc>
          <w:tcPr>
            <w:tcW w:w="780" w:type="dxa"/>
            <w:tcBorders>
              <w:top w:val="single" w:sz="4" w:space="0" w:color="000000"/>
              <w:left w:val="single" w:sz="4" w:space="0" w:color="000000"/>
              <w:bottom w:val="single" w:sz="4" w:space="0" w:color="000000"/>
              <w:right w:val="single" w:sz="4" w:space="0" w:color="000000"/>
            </w:tcBorders>
            <w:vAlign w:val="center"/>
          </w:tcPr>
          <w:p w:rsidR="00FF1F16" w:rsidRDefault="004A6500">
            <w:pPr>
              <w:pBdr>
                <w:top w:val="nil"/>
                <w:left w:val="nil"/>
                <w:bottom w:val="nil"/>
                <w:right w:val="nil"/>
                <w:between w:val="nil"/>
              </w:pBdr>
              <w:spacing w:line="240" w:lineRule="auto"/>
              <w:rPr>
                <w:rFonts w:ascii="Arial Narrow" w:eastAsia="Arial Narrow" w:hAnsi="Arial Narrow" w:cs="Arial Narrow"/>
                <w:b/>
                <w:bCs/>
                <w:sz w:val="24"/>
                <w:szCs w:val="24"/>
              </w:rPr>
            </w:pPr>
            <w:r>
              <w:rPr>
                <w:rFonts w:ascii="Arial Narrow" w:eastAsia="Arial Narrow" w:hAnsi="Arial Narrow" w:cs="Arial Narrow"/>
                <w:b/>
                <w:bCs/>
                <w:sz w:val="24"/>
                <w:szCs w:val="24"/>
              </w:rPr>
              <w:t>2026</w:t>
            </w:r>
          </w:p>
        </w:tc>
      </w:tr>
    </w:tbl>
    <w:p w:rsidR="00FF1F16" w:rsidRDefault="00FF1F16">
      <w:pPr>
        <w:spacing w:line="240" w:lineRule="auto"/>
        <w:rPr>
          <w:rFonts w:ascii="Arial Narrow" w:eastAsia="Arial Narrow" w:hAnsi="Arial Narrow" w:cs="Arial Narrow"/>
        </w:rPr>
      </w:pPr>
    </w:p>
    <w:p w:rsidR="00FF1F16" w:rsidRDefault="00FF1F16">
      <w:pPr>
        <w:jc w:val="both"/>
        <w:rPr>
          <w:rFonts w:ascii="Arial Narrow" w:eastAsia="Arial Narrow" w:hAnsi="Arial Narrow" w:cs="Arial Narrow"/>
          <w:sz w:val="24"/>
          <w:szCs w:val="24"/>
        </w:rPr>
      </w:pPr>
    </w:p>
    <w:p w:rsidR="00FF1F16" w:rsidRDefault="004A6500">
      <w:pPr>
        <w:pBdr>
          <w:top w:val="nil"/>
          <w:left w:val="nil"/>
          <w:bottom w:val="nil"/>
          <w:right w:val="nil"/>
          <w:between w:val="nil"/>
        </w:pBdr>
        <w:spacing w:before="240" w:after="240"/>
        <w:jc w:val="both"/>
        <w:rPr>
          <w:rFonts w:ascii="Arial Narrow" w:eastAsia="Arial Narrow" w:hAnsi="Arial Narrow" w:cs="Arial Narrow"/>
          <w:sz w:val="24"/>
          <w:szCs w:val="24"/>
        </w:rPr>
      </w:pPr>
      <w:r>
        <w:rPr>
          <w:rFonts w:ascii="Arial Narrow" w:eastAsia="Arial Narrow" w:hAnsi="Arial Narrow" w:cs="Arial Narrow"/>
          <w:sz w:val="24"/>
          <w:szCs w:val="24"/>
        </w:rPr>
        <w:t>Con corte al 30 de abril de 2026, el proyecto Patio y Taller Occidente registra un avance físico del 94%, calculado sobre un valor total contratado de $18.301.215.272, cifra que incorpora las adiciones presupuestales aprobadas para garantizar la continuida</w:t>
      </w:r>
      <w:r>
        <w:rPr>
          <w:rFonts w:ascii="Arial Narrow" w:eastAsia="Arial Narrow" w:hAnsi="Arial Narrow" w:cs="Arial Narrow"/>
          <w:sz w:val="24"/>
          <w:szCs w:val="24"/>
        </w:rPr>
        <w:t>d y culminación de las obras.</w:t>
      </w:r>
    </w:p>
    <w:p w:rsidR="00FF1F16" w:rsidRDefault="004A6500">
      <w:pPr>
        <w:pBdr>
          <w:top w:val="nil"/>
          <w:left w:val="nil"/>
          <w:bottom w:val="nil"/>
          <w:right w:val="nil"/>
          <w:between w:val="nil"/>
        </w:pBdr>
        <w:spacing w:before="240" w:after="240"/>
        <w:jc w:val="both"/>
        <w:rPr>
          <w:rFonts w:ascii="Arial Narrow" w:eastAsia="Arial Narrow" w:hAnsi="Arial Narrow" w:cs="Arial Narrow"/>
          <w:sz w:val="24"/>
          <w:szCs w:val="24"/>
        </w:rPr>
      </w:pPr>
      <w:r>
        <w:rPr>
          <w:rFonts w:ascii="Arial Narrow" w:eastAsia="Arial Narrow" w:hAnsi="Arial Narrow" w:cs="Arial Narrow"/>
          <w:sz w:val="24"/>
          <w:szCs w:val="24"/>
        </w:rPr>
        <w:t>En cuanto al estado contractual, el proyecto ha presentado escenarios de suspensión asociados a las dinámicas propias del proceso constructivo y contractual; no obstante, las gestiones administrativas y presupuestales adelanta</w:t>
      </w:r>
      <w:r>
        <w:rPr>
          <w:rFonts w:ascii="Arial Narrow" w:eastAsia="Arial Narrow" w:hAnsi="Arial Narrow" w:cs="Arial Narrow"/>
          <w:sz w:val="24"/>
          <w:szCs w:val="24"/>
        </w:rPr>
        <w:t>das permitieron la reactivación y continuidad de actividades estratégicas para la terminación de la infraestructura.</w:t>
      </w:r>
    </w:p>
    <w:p w:rsidR="00FF1F16" w:rsidRDefault="004A6500">
      <w:pPr>
        <w:pBdr>
          <w:top w:val="nil"/>
          <w:left w:val="nil"/>
          <w:bottom w:val="nil"/>
          <w:right w:val="nil"/>
          <w:between w:val="nil"/>
        </w:pBdr>
        <w:spacing w:before="240" w:after="240"/>
        <w:jc w:val="both"/>
        <w:rPr>
          <w:rFonts w:ascii="Arial Narrow" w:eastAsia="Arial Narrow" w:hAnsi="Arial Narrow" w:cs="Arial Narrow"/>
          <w:sz w:val="24"/>
          <w:szCs w:val="24"/>
        </w:rPr>
      </w:pPr>
      <w:r>
        <w:rPr>
          <w:rFonts w:ascii="Arial Narrow" w:eastAsia="Arial Narrow" w:hAnsi="Arial Narrow" w:cs="Arial Narrow"/>
          <w:sz w:val="24"/>
          <w:szCs w:val="24"/>
        </w:rPr>
        <w:t xml:space="preserve"> Dentro de las obras ejecutadas y desarrolladas desde el reinicio contractual se destacan:</w:t>
      </w:r>
    </w:p>
    <w:p w:rsidR="00FF1F16" w:rsidRDefault="004A6500">
      <w:pPr>
        <w:pBdr>
          <w:top w:val="nil"/>
          <w:left w:val="nil"/>
          <w:bottom w:val="nil"/>
          <w:right w:val="nil"/>
          <w:between w:val="nil"/>
        </w:pBdr>
        <w:spacing w:before="240" w:after="240"/>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rsidR="00FF1F16" w:rsidRDefault="004A6500">
      <w:pPr>
        <w:numPr>
          <w:ilvl w:val="0"/>
          <w:numId w:val="5"/>
        </w:numPr>
        <w:pBdr>
          <w:top w:val="nil"/>
          <w:left w:val="nil"/>
          <w:bottom w:val="nil"/>
          <w:right w:val="nil"/>
          <w:between w:val="nil"/>
        </w:pBdr>
        <w:spacing w:before="240"/>
        <w:jc w:val="both"/>
        <w:rPr>
          <w:rFonts w:ascii="Arial Narrow" w:eastAsia="Arial Narrow" w:hAnsi="Arial Narrow" w:cs="Arial Narrow"/>
          <w:sz w:val="24"/>
          <w:szCs w:val="24"/>
        </w:rPr>
      </w:pPr>
      <w:r>
        <w:rPr>
          <w:rFonts w:ascii="Arial Narrow" w:eastAsia="Arial Narrow" w:hAnsi="Arial Narrow" w:cs="Arial Narrow"/>
          <w:sz w:val="24"/>
          <w:szCs w:val="24"/>
        </w:rPr>
        <w:t>Complemento de la zona de mantenimiento mediante estructura metálica tipo hangar y áreas técnicas de almacenamiento.</w:t>
      </w:r>
    </w:p>
    <w:p w:rsidR="00FF1F16" w:rsidRDefault="004A6500">
      <w:pPr>
        <w:numPr>
          <w:ilvl w:val="0"/>
          <w:numId w:val="5"/>
        </w:num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Construcción de cárcamos para mantenimiento y reparación inferior de vehículos.</w:t>
      </w:r>
    </w:p>
    <w:p w:rsidR="00FF1F16" w:rsidRDefault="004A6500">
      <w:pPr>
        <w:numPr>
          <w:ilvl w:val="0"/>
          <w:numId w:val="5"/>
        </w:num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Instalación y avance de la red contra incendios en zonas ad</w:t>
      </w:r>
      <w:r>
        <w:rPr>
          <w:rFonts w:ascii="Arial Narrow" w:eastAsia="Arial Narrow" w:hAnsi="Arial Narrow" w:cs="Arial Narrow"/>
          <w:sz w:val="24"/>
          <w:szCs w:val="24"/>
        </w:rPr>
        <w:t>ministrativas y de mantenimiento, incluyendo infraestructura para almacenamiento y bombeo de agua.</w:t>
      </w:r>
    </w:p>
    <w:p w:rsidR="00FF1F16" w:rsidRDefault="004A6500">
      <w:pPr>
        <w:numPr>
          <w:ilvl w:val="0"/>
          <w:numId w:val="5"/>
        </w:num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Implementación de la Planta de Tratamiento de Aguas Residuales mediante sistemas prefabricados de alta capacidad y componentes para manejo y tratamiento de a</w:t>
      </w:r>
      <w:r>
        <w:rPr>
          <w:rFonts w:ascii="Arial Narrow" w:eastAsia="Arial Narrow" w:hAnsi="Arial Narrow" w:cs="Arial Narrow"/>
          <w:sz w:val="24"/>
          <w:szCs w:val="24"/>
        </w:rPr>
        <w:t>guas.</w:t>
      </w:r>
    </w:p>
    <w:p w:rsidR="00FF1F16" w:rsidRDefault="004A6500">
      <w:pPr>
        <w:numPr>
          <w:ilvl w:val="0"/>
          <w:numId w:val="5"/>
        </w:num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Desarrollo de carriles de aceleración y desaceleración para acceso operacional al patio.</w:t>
      </w:r>
    </w:p>
    <w:p w:rsidR="00FF1F16" w:rsidRDefault="004A6500">
      <w:pPr>
        <w:numPr>
          <w:ilvl w:val="0"/>
          <w:numId w:val="5"/>
        </w:numPr>
        <w:pBdr>
          <w:top w:val="nil"/>
          <w:left w:val="nil"/>
          <w:bottom w:val="nil"/>
          <w:right w:val="nil"/>
          <w:between w:val="nil"/>
        </w:pBdr>
        <w:spacing w:after="240"/>
        <w:jc w:val="both"/>
        <w:rPr>
          <w:rFonts w:ascii="Arial Narrow" w:eastAsia="Arial Narrow" w:hAnsi="Arial Narrow" w:cs="Arial Narrow"/>
          <w:sz w:val="24"/>
          <w:szCs w:val="24"/>
        </w:rPr>
      </w:pPr>
      <w:r>
        <w:rPr>
          <w:rFonts w:ascii="Arial Narrow" w:eastAsia="Arial Narrow" w:hAnsi="Arial Narrow" w:cs="Arial Narrow"/>
          <w:sz w:val="24"/>
          <w:szCs w:val="24"/>
        </w:rPr>
        <w:t>Avances en el edificio administrativo mediante instalación de aparatos sanitarios y adecuación de baterías de baños.</w:t>
      </w:r>
    </w:p>
    <w:p w:rsidR="00FF1F16" w:rsidRDefault="004A6500">
      <w:pPr>
        <w:pBdr>
          <w:top w:val="nil"/>
          <w:left w:val="nil"/>
          <w:bottom w:val="nil"/>
          <w:right w:val="nil"/>
          <w:between w:val="nil"/>
        </w:pBdr>
        <w:spacing w:before="240" w:after="240"/>
        <w:jc w:val="both"/>
        <w:rPr>
          <w:rFonts w:ascii="Arial Narrow" w:eastAsia="Arial Narrow" w:hAnsi="Arial Narrow" w:cs="Arial Narrow"/>
          <w:sz w:val="24"/>
          <w:szCs w:val="24"/>
        </w:rPr>
      </w:pPr>
      <w:r>
        <w:rPr>
          <w:rFonts w:ascii="Arial Narrow" w:eastAsia="Arial Narrow" w:hAnsi="Arial Narrow" w:cs="Arial Narrow"/>
          <w:b/>
          <w:bCs/>
          <w:sz w:val="24"/>
          <w:szCs w:val="24"/>
          <w:u w:val="single"/>
        </w:rPr>
        <w:t>Resultados obtenidos:</w:t>
      </w:r>
    </w:p>
    <w:p w:rsidR="00FF1F16" w:rsidRDefault="004A6500">
      <w:pPr>
        <w:pBdr>
          <w:top w:val="nil"/>
          <w:left w:val="nil"/>
          <w:bottom w:val="nil"/>
          <w:right w:val="nil"/>
          <w:between w:val="nil"/>
        </w:pBdr>
        <w:spacing w:before="240" w:after="240"/>
        <w:jc w:val="both"/>
        <w:rPr>
          <w:rFonts w:ascii="Arial Narrow" w:eastAsia="Arial Narrow" w:hAnsi="Arial Narrow" w:cs="Arial Narrow"/>
          <w:sz w:val="24"/>
          <w:szCs w:val="24"/>
        </w:rPr>
      </w:pPr>
      <w:r>
        <w:rPr>
          <w:rFonts w:ascii="Arial Narrow" w:eastAsia="Arial Narrow" w:hAnsi="Arial Narrow" w:cs="Arial Narrow"/>
          <w:sz w:val="24"/>
          <w:szCs w:val="24"/>
        </w:rPr>
        <w:t xml:space="preserve">Como resultado de las gestiones administrativas, presupuestales y contractuales adelantadas, el proyecto Patio y Taller Occidente registra un importante </w:t>
      </w:r>
      <w:r>
        <w:rPr>
          <w:rFonts w:ascii="Arial Narrow" w:eastAsia="Arial Narrow" w:hAnsi="Arial Narrow" w:cs="Arial Narrow"/>
          <w:b/>
          <w:bCs/>
          <w:sz w:val="24"/>
          <w:szCs w:val="24"/>
        </w:rPr>
        <w:t>avance físico del 94%</w:t>
      </w:r>
      <w:r>
        <w:rPr>
          <w:rFonts w:ascii="Arial Narrow" w:eastAsia="Arial Narrow" w:hAnsi="Arial Narrow" w:cs="Arial Narrow"/>
          <w:sz w:val="24"/>
          <w:szCs w:val="24"/>
        </w:rPr>
        <w:t xml:space="preserve"> con corte al 30 de abril de 2026, consolidando la continuidad de obras estratégic</w:t>
      </w:r>
      <w:r>
        <w:rPr>
          <w:rFonts w:ascii="Arial Narrow" w:eastAsia="Arial Narrow" w:hAnsi="Arial Narrow" w:cs="Arial Narrow"/>
          <w:sz w:val="24"/>
          <w:szCs w:val="24"/>
        </w:rPr>
        <w:t>as asociadas a mantenimiento, seguridad contra incendios, tratamiento de aguas, accesos operacionales y adecuaciones del edificio administrativo, bajo un esquema contractual y financiero actualizado para su culminación.</w:t>
      </w:r>
    </w:p>
    <w:p w:rsidR="00FF1F16" w:rsidRDefault="004A6500">
      <w:pPr>
        <w:spacing w:before="240" w:after="240"/>
        <w:jc w:val="both"/>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Plan de trabajo para cada compromiso</w:t>
      </w:r>
      <w:r>
        <w:rPr>
          <w:rFonts w:ascii="Arial Narrow" w:eastAsia="Arial Narrow" w:hAnsi="Arial Narrow" w:cs="Arial Narrow"/>
          <w:b/>
          <w:bCs/>
          <w:sz w:val="24"/>
          <w:szCs w:val="24"/>
          <w:u w:val="single"/>
        </w:rPr>
        <w:t>, con cronograma y actores implicados.</w:t>
      </w:r>
    </w:p>
    <w:tbl>
      <w:tblPr>
        <w:tblStyle w:val="a6"/>
        <w:tblW w:w="9413" w:type="dxa"/>
        <w:jc w:val="cente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187"/>
        <w:gridCol w:w="1450"/>
        <w:gridCol w:w="2776"/>
      </w:tblGrid>
      <w:tr w:rsidR="00FF1F16">
        <w:trPr>
          <w:trHeight w:val="270"/>
          <w:jc w:val="center"/>
        </w:trPr>
        <w:tc>
          <w:tcPr>
            <w:tcW w:w="5187" w:type="dxa"/>
            <w:shd w:val="clear" w:color="auto" w:fill="D0CECE"/>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b/>
                <w:bCs/>
                <w:color w:val="000000"/>
                <w:sz w:val="24"/>
                <w:szCs w:val="24"/>
              </w:rPr>
            </w:pPr>
            <w:r>
              <w:rPr>
                <w:rFonts w:ascii="Arial Narrow" w:eastAsia="Arial Narrow" w:hAnsi="Arial Narrow" w:cs="Arial Narrow"/>
                <w:b/>
                <w:bCs/>
                <w:color w:val="000000"/>
                <w:sz w:val="24"/>
                <w:szCs w:val="24"/>
              </w:rPr>
              <w:lastRenderedPageBreak/>
              <w:t>Acción</w:t>
            </w:r>
          </w:p>
        </w:tc>
        <w:tc>
          <w:tcPr>
            <w:tcW w:w="1450" w:type="dxa"/>
            <w:shd w:val="clear" w:color="auto" w:fill="D0CECE"/>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b/>
                <w:bCs/>
                <w:color w:val="000000"/>
                <w:sz w:val="24"/>
                <w:szCs w:val="24"/>
              </w:rPr>
            </w:pPr>
            <w:r>
              <w:rPr>
                <w:rFonts w:ascii="Arial Narrow" w:eastAsia="Arial Narrow" w:hAnsi="Arial Narrow" w:cs="Arial Narrow"/>
                <w:b/>
                <w:bCs/>
                <w:color w:val="000000"/>
                <w:sz w:val="24"/>
                <w:szCs w:val="24"/>
              </w:rPr>
              <w:t>Responsable</w:t>
            </w:r>
          </w:p>
        </w:tc>
        <w:tc>
          <w:tcPr>
            <w:tcW w:w="2776" w:type="dxa"/>
            <w:shd w:val="clear" w:color="auto" w:fill="D0CECE"/>
            <w:vAlign w:val="center"/>
          </w:tcPr>
          <w:p w:rsidR="00FF1F16" w:rsidRDefault="004A6500">
            <w:pPr>
              <w:pBdr>
                <w:top w:val="nil"/>
                <w:left w:val="nil"/>
                <w:bottom w:val="nil"/>
                <w:right w:val="nil"/>
                <w:between w:val="nil"/>
              </w:pBdr>
              <w:spacing w:after="200"/>
              <w:jc w:val="center"/>
              <w:rPr>
                <w:rFonts w:ascii="Arial Narrow" w:eastAsia="Arial Narrow" w:hAnsi="Arial Narrow" w:cs="Arial Narrow"/>
                <w:b/>
                <w:bCs/>
                <w:color w:val="000000"/>
                <w:sz w:val="24"/>
                <w:szCs w:val="24"/>
              </w:rPr>
            </w:pPr>
            <w:r>
              <w:rPr>
                <w:rFonts w:ascii="Arial Narrow" w:eastAsia="Arial Narrow" w:hAnsi="Arial Narrow" w:cs="Arial Narrow"/>
                <w:b/>
                <w:bCs/>
                <w:color w:val="000000"/>
                <w:sz w:val="24"/>
                <w:szCs w:val="24"/>
              </w:rPr>
              <w:t>Fecha</w:t>
            </w:r>
          </w:p>
        </w:tc>
      </w:tr>
      <w:tr w:rsidR="00FF1F16">
        <w:trPr>
          <w:trHeight w:val="13"/>
          <w:jc w:val="center"/>
        </w:trPr>
        <w:tc>
          <w:tcPr>
            <w:tcW w:w="5187" w:type="dxa"/>
            <w:vAlign w:val="center"/>
          </w:tcPr>
          <w:p w:rsidR="00FF1F16" w:rsidRDefault="004A6500">
            <w:pPr>
              <w:rPr>
                <w:rFonts w:ascii="Arial Narrow" w:eastAsia="Arial Narrow" w:hAnsi="Arial Narrow" w:cs="Arial Narrow"/>
                <w:sz w:val="24"/>
                <w:szCs w:val="24"/>
              </w:rPr>
            </w:pPr>
            <w:r>
              <w:rPr>
                <w:rFonts w:ascii="Arial Narrow" w:eastAsia="Arial Narrow" w:hAnsi="Arial Narrow" w:cs="Arial Narrow"/>
                <w:sz w:val="24"/>
                <w:szCs w:val="24"/>
              </w:rPr>
              <w:t xml:space="preserve">Reinicio del contrato </w:t>
            </w:r>
          </w:p>
        </w:tc>
        <w:tc>
          <w:tcPr>
            <w:tcW w:w="1450" w:type="dxa"/>
            <w:vAlign w:val="center"/>
          </w:tcPr>
          <w:p w:rsidR="00FF1F16" w:rsidRDefault="004A6500">
            <w:pPr>
              <w:rPr>
                <w:rFonts w:ascii="Arial Narrow" w:eastAsia="Arial Narrow" w:hAnsi="Arial Narrow" w:cs="Arial Narrow"/>
                <w:sz w:val="24"/>
                <w:szCs w:val="24"/>
              </w:rPr>
            </w:pPr>
            <w:r>
              <w:rPr>
                <w:rFonts w:ascii="Arial Narrow" w:eastAsia="Arial Narrow" w:hAnsi="Arial Narrow" w:cs="Arial Narrow"/>
                <w:sz w:val="24"/>
                <w:szCs w:val="24"/>
              </w:rPr>
              <w:t>Ente Gestor</w:t>
            </w:r>
          </w:p>
        </w:tc>
        <w:tc>
          <w:tcPr>
            <w:tcW w:w="2776" w:type="dxa"/>
            <w:vAlign w:val="center"/>
          </w:tcPr>
          <w:p w:rsidR="00FF1F16" w:rsidRDefault="004A6500">
            <w:pPr>
              <w:rPr>
                <w:rFonts w:ascii="Arial Narrow" w:eastAsia="Arial Narrow" w:hAnsi="Arial Narrow" w:cs="Arial Narrow"/>
                <w:sz w:val="24"/>
                <w:szCs w:val="24"/>
              </w:rPr>
            </w:pPr>
            <w:r>
              <w:rPr>
                <w:rFonts w:ascii="Arial Narrow" w:eastAsia="Arial Narrow" w:hAnsi="Arial Narrow" w:cs="Arial Narrow"/>
                <w:sz w:val="24"/>
                <w:szCs w:val="24"/>
              </w:rPr>
              <w:t xml:space="preserve">30 </w:t>
            </w:r>
            <w:proofErr w:type="gramStart"/>
            <w:r>
              <w:rPr>
                <w:rFonts w:ascii="Arial Narrow" w:eastAsia="Arial Narrow" w:hAnsi="Arial Narrow" w:cs="Arial Narrow"/>
                <w:sz w:val="24"/>
                <w:szCs w:val="24"/>
              </w:rPr>
              <w:t>Junio</w:t>
            </w:r>
            <w:proofErr w:type="gramEnd"/>
            <w:r>
              <w:rPr>
                <w:rFonts w:ascii="Arial Narrow" w:eastAsia="Arial Narrow" w:hAnsi="Arial Narrow" w:cs="Arial Narrow"/>
                <w:sz w:val="24"/>
                <w:szCs w:val="24"/>
              </w:rPr>
              <w:t xml:space="preserve"> 2026</w:t>
            </w:r>
          </w:p>
        </w:tc>
      </w:tr>
      <w:tr w:rsidR="00FF1F16">
        <w:trPr>
          <w:trHeight w:val="272"/>
          <w:jc w:val="center"/>
        </w:trPr>
        <w:tc>
          <w:tcPr>
            <w:tcW w:w="5187" w:type="dxa"/>
            <w:vAlign w:val="center"/>
          </w:tcPr>
          <w:p w:rsidR="00FF1F16" w:rsidRDefault="004A6500">
            <w:pPr>
              <w:rPr>
                <w:rFonts w:ascii="Arial Narrow" w:eastAsia="Arial Narrow" w:hAnsi="Arial Narrow" w:cs="Arial Narrow"/>
                <w:sz w:val="24"/>
                <w:szCs w:val="24"/>
              </w:rPr>
            </w:pPr>
            <w:r>
              <w:rPr>
                <w:rFonts w:ascii="Arial Narrow" w:eastAsia="Arial Narrow" w:hAnsi="Arial Narrow" w:cs="Arial Narrow"/>
                <w:sz w:val="24"/>
                <w:szCs w:val="24"/>
              </w:rPr>
              <w:t xml:space="preserve">Finalización de las obras </w:t>
            </w:r>
          </w:p>
        </w:tc>
        <w:tc>
          <w:tcPr>
            <w:tcW w:w="1450" w:type="dxa"/>
            <w:vAlign w:val="center"/>
          </w:tcPr>
          <w:p w:rsidR="00FF1F16" w:rsidRDefault="004A6500">
            <w:pPr>
              <w:rPr>
                <w:rFonts w:ascii="Arial Narrow" w:eastAsia="Arial Narrow" w:hAnsi="Arial Narrow" w:cs="Arial Narrow"/>
                <w:sz w:val="24"/>
                <w:szCs w:val="24"/>
              </w:rPr>
            </w:pPr>
            <w:r>
              <w:rPr>
                <w:rFonts w:ascii="Arial Narrow" w:eastAsia="Arial Narrow" w:hAnsi="Arial Narrow" w:cs="Arial Narrow"/>
                <w:sz w:val="24"/>
                <w:szCs w:val="24"/>
              </w:rPr>
              <w:t>Ente Gestor</w:t>
            </w:r>
          </w:p>
        </w:tc>
        <w:tc>
          <w:tcPr>
            <w:tcW w:w="2776" w:type="dxa"/>
            <w:vAlign w:val="center"/>
          </w:tcPr>
          <w:p w:rsidR="00FF1F16" w:rsidRDefault="004A6500">
            <w:pPr>
              <w:rPr>
                <w:rFonts w:ascii="Arial Narrow" w:eastAsia="Arial Narrow" w:hAnsi="Arial Narrow" w:cs="Arial Narrow"/>
                <w:sz w:val="24"/>
                <w:szCs w:val="24"/>
              </w:rPr>
            </w:pPr>
            <w:r>
              <w:rPr>
                <w:rFonts w:ascii="Arial Narrow" w:eastAsia="Arial Narrow" w:hAnsi="Arial Narrow" w:cs="Arial Narrow"/>
                <w:sz w:val="24"/>
                <w:szCs w:val="24"/>
              </w:rPr>
              <w:t>30 Julio 2026</w:t>
            </w:r>
          </w:p>
        </w:tc>
      </w:tr>
      <w:tr w:rsidR="00FF1F16">
        <w:trPr>
          <w:trHeight w:val="13"/>
          <w:jc w:val="center"/>
        </w:trPr>
        <w:tc>
          <w:tcPr>
            <w:tcW w:w="5187" w:type="dxa"/>
            <w:vAlign w:val="center"/>
          </w:tcPr>
          <w:p w:rsidR="00FF1F16" w:rsidRDefault="004A6500">
            <w:pPr>
              <w:rPr>
                <w:rFonts w:ascii="Arial Narrow" w:eastAsia="Arial Narrow" w:hAnsi="Arial Narrow" w:cs="Arial Narrow"/>
                <w:sz w:val="24"/>
                <w:szCs w:val="24"/>
              </w:rPr>
            </w:pPr>
            <w:r>
              <w:rPr>
                <w:rFonts w:ascii="Arial Narrow" w:eastAsia="Arial Narrow" w:hAnsi="Arial Narrow" w:cs="Arial Narrow"/>
                <w:sz w:val="24"/>
                <w:szCs w:val="24"/>
              </w:rPr>
              <w:t>Liquidación obra Patio y Taller Occidente</w:t>
            </w:r>
          </w:p>
        </w:tc>
        <w:tc>
          <w:tcPr>
            <w:tcW w:w="1450" w:type="dxa"/>
          </w:tcPr>
          <w:p w:rsidR="00FF1F16" w:rsidRDefault="004A6500">
            <w:pPr>
              <w:rPr>
                <w:rFonts w:ascii="Arial Narrow" w:eastAsia="Arial Narrow" w:hAnsi="Arial Narrow" w:cs="Arial Narrow"/>
                <w:sz w:val="24"/>
                <w:szCs w:val="24"/>
              </w:rPr>
            </w:pPr>
            <w:r>
              <w:rPr>
                <w:rFonts w:ascii="Arial Narrow" w:eastAsia="Arial Narrow" w:hAnsi="Arial Narrow" w:cs="Arial Narrow"/>
                <w:sz w:val="24"/>
                <w:szCs w:val="24"/>
              </w:rPr>
              <w:t>Ente Gestor</w:t>
            </w:r>
          </w:p>
        </w:tc>
        <w:tc>
          <w:tcPr>
            <w:tcW w:w="2776" w:type="dxa"/>
            <w:vAlign w:val="center"/>
          </w:tcPr>
          <w:p w:rsidR="00FF1F16" w:rsidRDefault="004A6500">
            <w:pPr>
              <w:rPr>
                <w:rFonts w:ascii="Arial Narrow" w:eastAsia="Arial Narrow" w:hAnsi="Arial Narrow" w:cs="Arial Narrow"/>
                <w:sz w:val="24"/>
                <w:szCs w:val="24"/>
              </w:rPr>
            </w:pPr>
            <w:r>
              <w:rPr>
                <w:rFonts w:ascii="Arial Narrow" w:eastAsia="Arial Narrow" w:hAnsi="Arial Narrow" w:cs="Arial Narrow"/>
                <w:sz w:val="24"/>
                <w:szCs w:val="24"/>
              </w:rPr>
              <w:t>Septiembre 2026</w:t>
            </w:r>
          </w:p>
        </w:tc>
      </w:tr>
    </w:tbl>
    <w:p w:rsidR="00FF1F16" w:rsidRDefault="00FF1F16">
      <w:pPr>
        <w:rPr>
          <w:rFonts w:ascii="Arial Narrow" w:eastAsia="Arial Narrow" w:hAnsi="Arial Narrow" w:cs="Arial Narrow"/>
          <w:color w:val="000000"/>
          <w:sz w:val="24"/>
          <w:szCs w:val="24"/>
        </w:rPr>
      </w:pPr>
    </w:p>
    <w:p w:rsidR="00FF1F16" w:rsidRDefault="004A6500">
      <w:pPr>
        <w:spacing w:before="240" w:after="240"/>
        <w:jc w:val="both"/>
        <w:rPr>
          <w:rFonts w:ascii="Arial Narrow" w:eastAsia="Arial Narrow" w:hAnsi="Arial Narrow" w:cs="Arial Narrow"/>
          <w:sz w:val="24"/>
          <w:szCs w:val="24"/>
        </w:rPr>
      </w:pPr>
      <w:r>
        <w:rPr>
          <w:rFonts w:ascii="Arial Narrow" w:eastAsia="Arial Narrow" w:hAnsi="Arial Narrow" w:cs="Arial Narrow"/>
          <w:b/>
          <w:bCs/>
          <w:sz w:val="24"/>
          <w:szCs w:val="24"/>
          <w:u w:val="single"/>
        </w:rPr>
        <w:t>Propuesta de reprogramación de fechas:</w:t>
      </w:r>
      <w:r>
        <w:rPr>
          <w:rFonts w:ascii="Arial Narrow" w:eastAsia="Arial Narrow" w:hAnsi="Arial Narrow" w:cs="Arial Narrow"/>
          <w:b/>
          <w:bCs/>
          <w:sz w:val="24"/>
          <w:szCs w:val="24"/>
        </w:rPr>
        <w:t xml:space="preserve">  </w:t>
      </w:r>
      <w:r>
        <w:rPr>
          <w:rFonts w:ascii="Arial Narrow" w:eastAsia="Arial Narrow" w:hAnsi="Arial Narrow" w:cs="Arial Narrow"/>
          <w:sz w:val="24"/>
          <w:szCs w:val="24"/>
        </w:rPr>
        <w:t>septiembre de 2026.</w:t>
      </w:r>
    </w:p>
    <w:p w:rsidR="00FF1F16" w:rsidRDefault="00FF1F16">
      <w:pPr>
        <w:rPr>
          <w:rFonts w:ascii="Arial Narrow" w:eastAsia="Arial Narrow" w:hAnsi="Arial Narrow" w:cs="Arial Narrow"/>
          <w:b/>
          <w:bCs/>
          <w:sz w:val="24"/>
          <w:szCs w:val="24"/>
        </w:rPr>
      </w:pPr>
    </w:p>
    <w:p w:rsidR="00FF1F16" w:rsidRDefault="004A6500">
      <w:pPr>
        <w:rPr>
          <w:rFonts w:ascii="Arial Narrow" w:eastAsia="Arial Narrow" w:hAnsi="Arial Narrow" w:cs="Arial Narrow"/>
          <w:b/>
          <w:bCs/>
          <w:color w:val="000000"/>
          <w:sz w:val="24"/>
          <w:szCs w:val="24"/>
        </w:rPr>
      </w:pPr>
      <w:bookmarkStart w:id="2" w:name="_heading=h.795h8qgl7bii" w:colFirst="0" w:colLast="0"/>
      <w:bookmarkEnd w:id="2"/>
      <w:r>
        <w:rPr>
          <w:rFonts w:ascii="Arial Narrow" w:eastAsia="Arial Narrow" w:hAnsi="Arial Narrow" w:cs="Arial Narrow"/>
          <w:b/>
          <w:bCs/>
          <w:sz w:val="24"/>
          <w:szCs w:val="24"/>
        </w:rPr>
        <w:t>Compromiso 2:</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Terminar la infraestructura producto de la redistribución de componentes</w:t>
      </w:r>
      <w:r>
        <w:rPr>
          <w:rFonts w:ascii="Arial Narrow" w:eastAsia="Arial Narrow" w:hAnsi="Arial Narrow" w:cs="Arial Narrow"/>
          <w:b/>
          <w:bCs/>
          <w:color w:val="000000"/>
          <w:sz w:val="24"/>
          <w:szCs w:val="24"/>
        </w:rPr>
        <w:t xml:space="preserve"> </w:t>
      </w:r>
    </w:p>
    <w:p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color w:val="000000"/>
          <w:sz w:val="24"/>
          <w:szCs w:val="24"/>
        </w:rPr>
        <w:t>Responsable:</w:t>
      </w:r>
      <w:r>
        <w:rPr>
          <w:rFonts w:ascii="Arial Narrow" w:eastAsia="Arial Narrow" w:hAnsi="Arial Narrow" w:cs="Arial Narrow"/>
          <w:color w:val="000000"/>
          <w:sz w:val="24"/>
          <w:szCs w:val="24"/>
        </w:rPr>
        <w:t xml:space="preserve"> Ente Gestor</w:t>
      </w:r>
    </w:p>
    <w:p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sz w:val="24"/>
          <w:szCs w:val="24"/>
        </w:rPr>
        <w:t>Fecha inicial límite:</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diciembre 2028 (se mantiene fecha)</w:t>
      </w:r>
    </w:p>
    <w:p w:rsidR="00FF1F16" w:rsidRDefault="00FF1F16">
      <w:pPr>
        <w:rPr>
          <w:rFonts w:ascii="Arial Narrow" w:eastAsia="Arial Narrow" w:hAnsi="Arial Narrow" w:cs="Arial Narrow"/>
          <w:sz w:val="24"/>
          <w:szCs w:val="24"/>
        </w:rPr>
      </w:pPr>
    </w:p>
    <w:p w:rsidR="00FF1F16" w:rsidRDefault="004A6500">
      <w:pPr>
        <w:rPr>
          <w:rFonts w:ascii="Arial Narrow" w:eastAsia="Arial Narrow" w:hAnsi="Arial Narrow" w:cs="Arial Narrow"/>
          <w:sz w:val="24"/>
          <w:szCs w:val="24"/>
        </w:rPr>
      </w:pPr>
      <w:r>
        <w:rPr>
          <w:rFonts w:ascii="Arial Narrow" w:eastAsia="Arial Narrow" w:hAnsi="Arial Narrow" w:cs="Arial Narrow"/>
          <w:sz w:val="24"/>
          <w:szCs w:val="24"/>
        </w:rPr>
        <w:t xml:space="preserve">El cumplimiento del compromiso </w:t>
      </w:r>
      <w:proofErr w:type="spellStart"/>
      <w:r>
        <w:rPr>
          <w:rFonts w:ascii="Arial Narrow" w:eastAsia="Arial Narrow" w:hAnsi="Arial Narrow" w:cs="Arial Narrow"/>
          <w:sz w:val="24"/>
          <w:szCs w:val="24"/>
        </w:rPr>
        <w:t>nro</w:t>
      </w:r>
      <w:proofErr w:type="spellEnd"/>
      <w:r>
        <w:rPr>
          <w:rFonts w:ascii="Arial Narrow" w:eastAsia="Arial Narrow" w:hAnsi="Arial Narrow" w:cs="Arial Narrow"/>
          <w:sz w:val="24"/>
          <w:szCs w:val="24"/>
        </w:rPr>
        <w:t xml:space="preserve"> 2, se iniciaría una vez se cumpla con el artículo tercero del artículo 172 de la ley 2294 de 2023.</w:t>
      </w:r>
    </w:p>
    <w:p w:rsidR="00FF1F16" w:rsidRDefault="00FF1F16">
      <w:pPr>
        <w:rPr>
          <w:rFonts w:ascii="Arial Narrow" w:eastAsia="Arial Narrow" w:hAnsi="Arial Narrow" w:cs="Arial Narrow"/>
          <w:b/>
          <w:bCs/>
          <w:sz w:val="24"/>
          <w:szCs w:val="24"/>
        </w:rPr>
      </w:pPr>
    </w:p>
    <w:p w:rsidR="00FF1F16" w:rsidRDefault="004A6500">
      <w:pPr>
        <w:rPr>
          <w:rFonts w:ascii="Arial Narrow" w:eastAsia="Arial Narrow" w:hAnsi="Arial Narrow" w:cs="Arial Narrow"/>
          <w:b/>
          <w:bCs/>
          <w:sz w:val="24"/>
          <w:szCs w:val="24"/>
        </w:rPr>
      </w:pPr>
      <w:r>
        <w:rPr>
          <w:rFonts w:ascii="Arial Narrow" w:eastAsia="Arial Narrow" w:hAnsi="Arial Narrow" w:cs="Arial Narrow"/>
          <w:b/>
          <w:bCs/>
          <w:sz w:val="24"/>
          <w:szCs w:val="24"/>
        </w:rPr>
        <w:t xml:space="preserve">7. </w:t>
      </w:r>
      <w:r>
        <w:rPr>
          <w:rFonts w:ascii="Arial Narrow" w:eastAsia="Arial Narrow" w:hAnsi="Arial Narrow" w:cs="Arial Narrow"/>
          <w:b/>
          <w:bCs/>
          <w:color w:val="000000"/>
          <w:sz w:val="24"/>
          <w:szCs w:val="24"/>
        </w:rPr>
        <w:t>INICIO DE OPERACIÓN PROYECTADO.</w:t>
      </w:r>
    </w:p>
    <w:p w:rsidR="00FF1F16" w:rsidRDefault="004A6500">
      <w:pPr>
        <w:rPr>
          <w:rFonts w:ascii="Arial Narrow" w:eastAsia="Arial Narrow" w:hAnsi="Arial Narrow" w:cs="Arial Narrow"/>
          <w:b/>
          <w:bCs/>
          <w:color w:val="000000"/>
          <w:sz w:val="24"/>
          <w:szCs w:val="24"/>
        </w:rPr>
      </w:pPr>
      <w:r>
        <w:rPr>
          <w:rFonts w:ascii="Arial Narrow" w:eastAsia="Arial Narrow" w:hAnsi="Arial Narrow" w:cs="Arial Narrow"/>
          <w:b/>
          <w:bCs/>
          <w:sz w:val="24"/>
          <w:szCs w:val="24"/>
        </w:rPr>
        <w:t>Compromiso 1:</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Adelantar las actividades para la puesta en operación del 60% de las rut</w:t>
      </w:r>
      <w:r>
        <w:rPr>
          <w:rFonts w:ascii="Arial Narrow" w:eastAsia="Arial Narrow" w:hAnsi="Arial Narrow" w:cs="Arial Narrow"/>
          <w:color w:val="000000"/>
          <w:sz w:val="24"/>
          <w:szCs w:val="24"/>
        </w:rPr>
        <w:t>as SETP</w:t>
      </w:r>
      <w:r>
        <w:rPr>
          <w:rFonts w:ascii="Arial Narrow" w:eastAsia="Arial Narrow" w:hAnsi="Arial Narrow" w:cs="Arial Narrow"/>
          <w:b/>
          <w:bCs/>
          <w:color w:val="000000"/>
          <w:sz w:val="24"/>
          <w:szCs w:val="24"/>
        </w:rPr>
        <w:t xml:space="preserve"> </w:t>
      </w:r>
    </w:p>
    <w:p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color w:val="000000"/>
          <w:sz w:val="24"/>
          <w:szCs w:val="24"/>
        </w:rPr>
        <w:t>Responsable:</w:t>
      </w:r>
      <w:r>
        <w:rPr>
          <w:rFonts w:ascii="Arial Narrow" w:eastAsia="Arial Narrow" w:hAnsi="Arial Narrow" w:cs="Arial Narrow"/>
          <w:color w:val="000000"/>
          <w:sz w:val="24"/>
          <w:szCs w:val="24"/>
        </w:rPr>
        <w:t xml:space="preserve"> Ente Gestor + Municipio</w:t>
      </w:r>
    </w:p>
    <w:p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sz w:val="24"/>
          <w:szCs w:val="24"/>
        </w:rPr>
        <w:t>Fecha inicial límite:</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junio 2026</w:t>
      </w:r>
    </w:p>
    <w:p w:rsidR="00FF1F16" w:rsidRDefault="00FF1F16">
      <w:pPr>
        <w:rPr>
          <w:rFonts w:ascii="Arial Narrow" w:eastAsia="Arial Narrow" w:hAnsi="Arial Narrow" w:cs="Arial Narrow"/>
          <w:b/>
          <w:bCs/>
          <w:sz w:val="24"/>
          <w:szCs w:val="24"/>
        </w:rPr>
      </w:pPr>
    </w:p>
    <w:p w:rsidR="00FF1F16" w:rsidRDefault="004A6500">
      <w:pPr>
        <w:rPr>
          <w:rFonts w:ascii="Arial Narrow" w:eastAsia="Arial Narrow" w:hAnsi="Arial Narrow" w:cs="Arial Narrow"/>
          <w:sz w:val="24"/>
          <w:szCs w:val="24"/>
          <w:u w:val="single"/>
        </w:rPr>
      </w:pPr>
      <w:r>
        <w:rPr>
          <w:rFonts w:ascii="Arial Narrow" w:eastAsia="Arial Narrow" w:hAnsi="Arial Narrow" w:cs="Arial Narrow"/>
          <w:b/>
          <w:bCs/>
          <w:sz w:val="24"/>
          <w:szCs w:val="24"/>
          <w:u w:val="single"/>
        </w:rPr>
        <w:t>Acciones adelantadas</w:t>
      </w:r>
      <w:r>
        <w:rPr>
          <w:rFonts w:ascii="Arial Narrow" w:eastAsia="Arial Narrow" w:hAnsi="Arial Narrow" w:cs="Arial Narrow"/>
          <w:sz w:val="24"/>
          <w:szCs w:val="24"/>
          <w:u w:val="single"/>
        </w:rPr>
        <w:t xml:space="preserve"> </w:t>
      </w:r>
    </w:p>
    <w:p w:rsidR="00FF1F16" w:rsidRDefault="004A6500">
      <w:pPr>
        <w:pBdr>
          <w:top w:val="nil"/>
          <w:left w:val="nil"/>
          <w:bottom w:val="nil"/>
          <w:right w:val="nil"/>
          <w:between w:val="nil"/>
        </w:pBdr>
        <w:spacing w:after="200"/>
        <w:jc w:val="both"/>
        <w:rPr>
          <w:rFonts w:ascii="Arial Narrow" w:eastAsia="Arial Narrow" w:hAnsi="Arial Narrow" w:cs="Arial Narrow"/>
          <w:sz w:val="24"/>
          <w:szCs w:val="24"/>
        </w:rPr>
      </w:pPr>
      <w:r>
        <w:rPr>
          <w:rFonts w:ascii="Arial Narrow" w:eastAsia="Arial Narrow" w:hAnsi="Arial Narrow" w:cs="Arial Narrow"/>
          <w:sz w:val="24"/>
          <w:szCs w:val="24"/>
        </w:rPr>
        <w:t>El inicio progresivo de operación del SETP se encuentra asociado al avance concurrente de componentes tecnológicos, administrativos, financieros y operacionales requeridos para garantizar condiciones de viabilidad y sostenibilidad del sistema.</w:t>
      </w:r>
    </w:p>
    <w:p w:rsidR="00FF1F16" w:rsidRDefault="004A6500">
      <w:pPr>
        <w:pBdr>
          <w:top w:val="nil"/>
          <w:left w:val="nil"/>
          <w:bottom w:val="nil"/>
          <w:right w:val="nil"/>
          <w:between w:val="nil"/>
        </w:pBdr>
        <w:spacing w:after="200"/>
        <w:jc w:val="both"/>
        <w:rPr>
          <w:rFonts w:ascii="Arial Narrow" w:eastAsia="Arial Narrow" w:hAnsi="Arial Narrow" w:cs="Arial Narrow"/>
          <w:sz w:val="24"/>
          <w:szCs w:val="24"/>
        </w:rPr>
      </w:pPr>
      <w:r>
        <w:rPr>
          <w:rFonts w:ascii="Arial Narrow" w:eastAsia="Arial Narrow" w:hAnsi="Arial Narrow" w:cs="Arial Narrow"/>
          <w:sz w:val="24"/>
          <w:szCs w:val="24"/>
        </w:rPr>
        <w:t>En concordan</w:t>
      </w:r>
      <w:r>
        <w:rPr>
          <w:rFonts w:ascii="Arial Narrow" w:eastAsia="Arial Narrow" w:hAnsi="Arial Narrow" w:cs="Arial Narrow"/>
          <w:sz w:val="24"/>
          <w:szCs w:val="24"/>
        </w:rPr>
        <w:t>cia con la implementación tecnológica prevista para el SETP, el Ente Gestor ha mantenido las gestiones asociadas al contrato tecnológico No. 246 de 2023 y a las actividades requeridas para el suministro, instalación, parametrización y puesta en funcionamie</w:t>
      </w:r>
      <w:r>
        <w:rPr>
          <w:rFonts w:ascii="Arial Narrow" w:eastAsia="Arial Narrow" w:hAnsi="Arial Narrow" w:cs="Arial Narrow"/>
          <w:sz w:val="24"/>
          <w:szCs w:val="24"/>
        </w:rPr>
        <w:t>nto de los sistemas de recaudo, control y gestión de flota e información al usuario.</w:t>
      </w:r>
    </w:p>
    <w:p w:rsidR="00FF1F16" w:rsidRDefault="004A6500">
      <w:pPr>
        <w:pBdr>
          <w:top w:val="nil"/>
          <w:left w:val="nil"/>
          <w:bottom w:val="nil"/>
          <w:right w:val="nil"/>
          <w:between w:val="nil"/>
        </w:pBdr>
        <w:spacing w:after="200"/>
        <w:jc w:val="both"/>
        <w:rPr>
          <w:rFonts w:ascii="Arial Narrow" w:eastAsia="Arial Narrow" w:hAnsi="Arial Narrow" w:cs="Arial Narrow"/>
          <w:sz w:val="24"/>
          <w:szCs w:val="24"/>
        </w:rPr>
      </w:pPr>
      <w:r>
        <w:rPr>
          <w:rFonts w:ascii="Arial Narrow" w:eastAsia="Arial Narrow" w:hAnsi="Arial Narrow" w:cs="Arial Narrow"/>
          <w:sz w:val="24"/>
          <w:szCs w:val="24"/>
        </w:rPr>
        <w:t>De igual manera, se ha identificado que el inicio progresivo de operación requiere la consolidación de condiciones habilitantes relacionadas con la implementación tecnológ</w:t>
      </w:r>
      <w:r>
        <w:rPr>
          <w:rFonts w:ascii="Arial Narrow" w:eastAsia="Arial Narrow" w:hAnsi="Arial Narrow" w:cs="Arial Narrow"/>
          <w:sz w:val="24"/>
          <w:szCs w:val="24"/>
        </w:rPr>
        <w:t xml:space="preserve">ica, el cierre técnico y administrativo del </w:t>
      </w:r>
      <w:proofErr w:type="gramStart"/>
      <w:r>
        <w:rPr>
          <w:rFonts w:ascii="Arial Narrow" w:eastAsia="Arial Narrow" w:hAnsi="Arial Narrow" w:cs="Arial Narrow"/>
          <w:sz w:val="24"/>
          <w:szCs w:val="24"/>
        </w:rPr>
        <w:t>sistema,  la</w:t>
      </w:r>
      <w:proofErr w:type="gramEnd"/>
      <w:r>
        <w:rPr>
          <w:rFonts w:ascii="Arial Narrow" w:eastAsia="Arial Narrow" w:hAnsi="Arial Narrow" w:cs="Arial Narrow"/>
          <w:sz w:val="24"/>
          <w:szCs w:val="24"/>
        </w:rPr>
        <w:t xml:space="preserve"> articulación institucional y otro factor muy importante es el de la conciliación con transportadores, todas las anteriores necesarias para la prestación del servicio.</w:t>
      </w:r>
    </w:p>
    <w:p w:rsidR="00FF1F16" w:rsidRDefault="004A6500">
      <w:pPr>
        <w:pBdr>
          <w:top w:val="nil"/>
          <w:left w:val="nil"/>
          <w:bottom w:val="nil"/>
          <w:right w:val="nil"/>
          <w:between w:val="nil"/>
        </w:pBdr>
        <w:spacing w:after="200"/>
        <w:jc w:val="both"/>
        <w:rPr>
          <w:rFonts w:ascii="Arial Narrow" w:eastAsia="Arial Narrow" w:hAnsi="Arial Narrow" w:cs="Arial Narrow"/>
          <w:sz w:val="24"/>
          <w:szCs w:val="24"/>
        </w:rPr>
      </w:pPr>
      <w:r>
        <w:rPr>
          <w:rFonts w:ascii="Arial Narrow" w:eastAsia="Arial Narrow" w:hAnsi="Arial Narrow" w:cs="Arial Narrow"/>
          <w:sz w:val="24"/>
          <w:szCs w:val="24"/>
        </w:rPr>
        <w:lastRenderedPageBreak/>
        <w:t xml:space="preserve">En este marco, la interventoría </w:t>
      </w:r>
      <w:r>
        <w:rPr>
          <w:rFonts w:ascii="Arial Narrow" w:eastAsia="Arial Narrow" w:hAnsi="Arial Narrow" w:cs="Arial Narrow"/>
          <w:sz w:val="24"/>
          <w:szCs w:val="24"/>
        </w:rPr>
        <w:t>ITS y la implementación progresiva del SGCF, SRC y SIU constituyen componentes necesarios dentro del proceso de preparación para la futura entrada en operación del SETP.</w:t>
      </w:r>
    </w:p>
    <w:p w:rsidR="00FF1F16" w:rsidRDefault="00FF1F16">
      <w:pPr>
        <w:rPr>
          <w:rFonts w:ascii="Arial Narrow" w:eastAsia="Arial Narrow" w:hAnsi="Arial Narrow" w:cs="Arial Narrow"/>
          <w:b/>
          <w:bCs/>
          <w:sz w:val="24"/>
          <w:szCs w:val="24"/>
        </w:rPr>
      </w:pPr>
    </w:p>
    <w:p w:rsidR="00FF1F16" w:rsidRDefault="004A6500">
      <w:pPr>
        <w:rPr>
          <w:rFonts w:ascii="Arial Narrow" w:eastAsia="Arial Narrow" w:hAnsi="Arial Narrow" w:cs="Arial Narrow"/>
          <w:b/>
          <w:bCs/>
          <w:sz w:val="24"/>
          <w:szCs w:val="24"/>
        </w:rPr>
      </w:pPr>
      <w:r>
        <w:rPr>
          <w:rFonts w:ascii="Arial Narrow" w:eastAsia="Arial Narrow" w:hAnsi="Arial Narrow" w:cs="Arial Narrow"/>
          <w:b/>
          <w:bCs/>
          <w:sz w:val="24"/>
          <w:szCs w:val="24"/>
        </w:rPr>
        <w:t>Compromiso 2:</w:t>
      </w:r>
      <w:r>
        <w:rPr>
          <w:rFonts w:ascii="Arial Narrow" w:eastAsia="Arial Narrow" w:hAnsi="Arial Narrow" w:cs="Arial Narrow"/>
          <w:sz w:val="24"/>
          <w:szCs w:val="24"/>
        </w:rPr>
        <w:t xml:space="preserve"> Adelantar las actividades para la puesta en operación del 100% de las r</w:t>
      </w:r>
      <w:r>
        <w:rPr>
          <w:rFonts w:ascii="Arial Narrow" w:eastAsia="Arial Narrow" w:hAnsi="Arial Narrow" w:cs="Arial Narrow"/>
          <w:sz w:val="24"/>
          <w:szCs w:val="24"/>
        </w:rPr>
        <w:t>utas SETP.</w:t>
      </w:r>
    </w:p>
    <w:p w:rsidR="00FF1F16" w:rsidRDefault="004A6500">
      <w:pPr>
        <w:rPr>
          <w:rFonts w:ascii="Arial Narrow" w:eastAsia="Arial Narrow" w:hAnsi="Arial Narrow" w:cs="Arial Narrow"/>
          <w:sz w:val="24"/>
          <w:szCs w:val="24"/>
        </w:rPr>
      </w:pPr>
      <w:r>
        <w:rPr>
          <w:rFonts w:ascii="Arial Narrow" w:eastAsia="Arial Narrow" w:hAnsi="Arial Narrow" w:cs="Arial Narrow"/>
          <w:b/>
          <w:bCs/>
          <w:sz w:val="24"/>
          <w:szCs w:val="24"/>
        </w:rPr>
        <w:t>Responsable:</w:t>
      </w:r>
      <w:r>
        <w:rPr>
          <w:rFonts w:ascii="Arial Narrow" w:eastAsia="Arial Narrow" w:hAnsi="Arial Narrow" w:cs="Arial Narrow"/>
          <w:sz w:val="24"/>
          <w:szCs w:val="24"/>
        </w:rPr>
        <w:t xml:space="preserve"> Ente Gestor + Municipio</w:t>
      </w:r>
    </w:p>
    <w:p w:rsidR="00FF1F16" w:rsidRDefault="004A6500">
      <w:pPr>
        <w:rPr>
          <w:rFonts w:ascii="Arial Narrow" w:eastAsia="Arial Narrow" w:hAnsi="Arial Narrow" w:cs="Arial Narrow"/>
          <w:sz w:val="24"/>
          <w:szCs w:val="24"/>
        </w:rPr>
      </w:pPr>
      <w:r>
        <w:rPr>
          <w:rFonts w:ascii="Arial Narrow" w:eastAsia="Arial Narrow" w:hAnsi="Arial Narrow" w:cs="Arial Narrow"/>
          <w:b/>
          <w:bCs/>
          <w:sz w:val="24"/>
          <w:szCs w:val="24"/>
        </w:rPr>
        <w:t>Fecha inicial límite:</w:t>
      </w:r>
      <w:r>
        <w:rPr>
          <w:rFonts w:ascii="Arial Narrow" w:eastAsia="Arial Narrow" w:hAnsi="Arial Narrow" w:cs="Arial Narrow"/>
          <w:sz w:val="24"/>
          <w:szCs w:val="24"/>
        </w:rPr>
        <w:t xml:space="preserve"> octubre 2027 (no se modifica la fecha)</w:t>
      </w:r>
    </w:p>
    <w:p w:rsidR="00FF1F16" w:rsidRDefault="00FF1F16">
      <w:pPr>
        <w:pBdr>
          <w:top w:val="nil"/>
          <w:left w:val="nil"/>
          <w:bottom w:val="nil"/>
          <w:right w:val="nil"/>
          <w:between w:val="nil"/>
        </w:pBdr>
        <w:spacing w:after="200"/>
        <w:jc w:val="both"/>
        <w:rPr>
          <w:rFonts w:ascii="Arial Narrow" w:eastAsia="Arial Narrow" w:hAnsi="Arial Narrow" w:cs="Arial Narrow"/>
          <w:sz w:val="24"/>
          <w:szCs w:val="24"/>
        </w:rPr>
      </w:pPr>
    </w:p>
    <w:p w:rsidR="00FF1F16" w:rsidRDefault="004A6500">
      <w:pPr>
        <w:spacing w:after="200"/>
        <w:jc w:val="both"/>
        <w:rPr>
          <w:rFonts w:ascii="Arial Narrow" w:eastAsia="Arial Narrow" w:hAnsi="Arial Narrow" w:cs="Arial Narrow"/>
          <w:sz w:val="24"/>
          <w:szCs w:val="24"/>
          <w:u w:val="single"/>
        </w:rPr>
      </w:pPr>
      <w:r>
        <w:rPr>
          <w:rFonts w:ascii="Arial Narrow" w:eastAsia="Arial Narrow" w:hAnsi="Arial Narrow" w:cs="Arial Narrow"/>
          <w:b/>
          <w:bCs/>
          <w:sz w:val="24"/>
          <w:szCs w:val="24"/>
          <w:u w:val="single"/>
        </w:rPr>
        <w:t>Acciones adelantadas</w:t>
      </w:r>
    </w:p>
    <w:p w:rsidR="00FF1F16" w:rsidRDefault="004A6500">
      <w:pPr>
        <w:pBdr>
          <w:top w:val="nil"/>
          <w:left w:val="nil"/>
          <w:bottom w:val="nil"/>
          <w:right w:val="nil"/>
          <w:between w:val="nil"/>
        </w:pBdr>
        <w:spacing w:after="200"/>
        <w:jc w:val="both"/>
        <w:rPr>
          <w:rFonts w:ascii="Arial Narrow" w:eastAsia="Arial Narrow" w:hAnsi="Arial Narrow" w:cs="Arial Narrow"/>
          <w:sz w:val="24"/>
          <w:szCs w:val="24"/>
        </w:rPr>
      </w:pPr>
      <w:r>
        <w:rPr>
          <w:rFonts w:ascii="Arial Narrow" w:eastAsia="Arial Narrow" w:hAnsi="Arial Narrow" w:cs="Arial Narrow"/>
          <w:sz w:val="24"/>
          <w:szCs w:val="24"/>
        </w:rPr>
        <w:t>La puesta en operación del 100% de las rutas proyectadas para el SETP se encuentra asociada al cumplimiento progresivo de con</w:t>
      </w:r>
      <w:r>
        <w:rPr>
          <w:rFonts w:ascii="Arial Narrow" w:eastAsia="Arial Narrow" w:hAnsi="Arial Narrow" w:cs="Arial Narrow"/>
          <w:sz w:val="24"/>
          <w:szCs w:val="24"/>
        </w:rPr>
        <w:t>diciones técnicas, tecnológicas, administrativas, financieras y operacionales necesarias para la implementación integral del sistema.</w:t>
      </w:r>
    </w:p>
    <w:p w:rsidR="00FF1F16" w:rsidRDefault="004A6500">
      <w:pPr>
        <w:pBdr>
          <w:top w:val="nil"/>
          <w:left w:val="nil"/>
          <w:bottom w:val="nil"/>
          <w:right w:val="nil"/>
          <w:between w:val="nil"/>
        </w:pBdr>
        <w:spacing w:after="200"/>
        <w:jc w:val="both"/>
        <w:rPr>
          <w:rFonts w:ascii="Arial Narrow" w:eastAsia="Arial Narrow" w:hAnsi="Arial Narrow" w:cs="Arial Narrow"/>
          <w:sz w:val="24"/>
          <w:szCs w:val="24"/>
        </w:rPr>
      </w:pPr>
      <w:r>
        <w:rPr>
          <w:rFonts w:ascii="Arial Narrow" w:eastAsia="Arial Narrow" w:hAnsi="Arial Narrow" w:cs="Arial Narrow"/>
          <w:sz w:val="24"/>
          <w:szCs w:val="24"/>
        </w:rPr>
        <w:t>En concordancia con lo expuesto en la problemática No. 4 relacionada con la implementación tecnológica del SETP, el Ente G</w:t>
      </w:r>
      <w:r>
        <w:rPr>
          <w:rFonts w:ascii="Arial Narrow" w:eastAsia="Arial Narrow" w:hAnsi="Arial Narrow" w:cs="Arial Narrow"/>
          <w:sz w:val="24"/>
          <w:szCs w:val="24"/>
        </w:rPr>
        <w:t>estor ha mantenido las gestiones asociadas al contrato tecnológico No. 246 de 2023 y al proceso requerido para el suministro, instalación, parametrización y puesta en funcionamiento de los sistemas de recaudo, control y gestión de flota e información al us</w:t>
      </w:r>
      <w:r>
        <w:rPr>
          <w:rFonts w:ascii="Arial Narrow" w:eastAsia="Arial Narrow" w:hAnsi="Arial Narrow" w:cs="Arial Narrow"/>
          <w:sz w:val="24"/>
          <w:szCs w:val="24"/>
        </w:rPr>
        <w:t>uario.</w:t>
      </w:r>
    </w:p>
    <w:p w:rsidR="00FF1F16" w:rsidRDefault="004A6500">
      <w:pPr>
        <w:pBdr>
          <w:top w:val="nil"/>
          <w:left w:val="nil"/>
          <w:bottom w:val="nil"/>
          <w:right w:val="nil"/>
          <w:between w:val="nil"/>
        </w:pBdr>
        <w:spacing w:after="200"/>
        <w:jc w:val="both"/>
        <w:rPr>
          <w:rFonts w:ascii="Arial Narrow" w:eastAsia="Arial Narrow" w:hAnsi="Arial Narrow" w:cs="Arial Narrow"/>
          <w:sz w:val="24"/>
          <w:szCs w:val="24"/>
        </w:rPr>
      </w:pPr>
      <w:r>
        <w:rPr>
          <w:rFonts w:ascii="Arial Narrow" w:eastAsia="Arial Narrow" w:hAnsi="Arial Narrow" w:cs="Arial Narrow"/>
          <w:sz w:val="24"/>
          <w:szCs w:val="24"/>
        </w:rPr>
        <w:t>De igual manera, se ha identificado que la operación integral del sistema requiere la consolidación de condiciones habilitantes relacionadas con la implementación tecnológica, la definición del esquema operacional, el cierre administrativo y financiero y l</w:t>
      </w:r>
      <w:r>
        <w:rPr>
          <w:rFonts w:ascii="Arial Narrow" w:eastAsia="Arial Narrow" w:hAnsi="Arial Narrow" w:cs="Arial Narrow"/>
          <w:sz w:val="24"/>
          <w:szCs w:val="24"/>
        </w:rPr>
        <w:t>a articulación institucional requerida para la prestación del servicio.</w:t>
      </w:r>
    </w:p>
    <w:p w:rsidR="00FF1F16" w:rsidRDefault="004A6500">
      <w:pPr>
        <w:pBdr>
          <w:top w:val="nil"/>
          <w:left w:val="nil"/>
          <w:bottom w:val="nil"/>
          <w:right w:val="nil"/>
          <w:between w:val="nil"/>
        </w:pBdr>
        <w:spacing w:after="200"/>
        <w:jc w:val="both"/>
        <w:rPr>
          <w:rFonts w:ascii="Arial Narrow" w:eastAsia="Arial Narrow" w:hAnsi="Arial Narrow" w:cs="Arial Narrow"/>
          <w:sz w:val="24"/>
          <w:szCs w:val="24"/>
        </w:rPr>
      </w:pPr>
      <w:r>
        <w:rPr>
          <w:rFonts w:ascii="Arial Narrow" w:eastAsia="Arial Narrow" w:hAnsi="Arial Narrow" w:cs="Arial Narrow"/>
          <w:sz w:val="24"/>
          <w:szCs w:val="24"/>
        </w:rPr>
        <w:t>En este marco, la interventoría ITS, el cierre técnico, legal y financiero del contrato tecnológico y la implementación progresiva del SGCF, SRC y SIU constituyen componentes necesario</w:t>
      </w:r>
      <w:r>
        <w:rPr>
          <w:rFonts w:ascii="Arial Narrow" w:eastAsia="Arial Narrow" w:hAnsi="Arial Narrow" w:cs="Arial Narrow"/>
          <w:sz w:val="24"/>
          <w:szCs w:val="24"/>
        </w:rPr>
        <w:t>s dentro del proceso de preparación y consolidación de condiciones para la futura operación integral del SETP y la puesta en funcionamiento del 100% de las rutas proyectadas.</w:t>
      </w:r>
    </w:p>
    <w:p w:rsidR="00FF1F16" w:rsidRDefault="00FF1F16">
      <w:pPr>
        <w:pBdr>
          <w:top w:val="nil"/>
          <w:left w:val="nil"/>
          <w:bottom w:val="nil"/>
          <w:right w:val="nil"/>
          <w:between w:val="nil"/>
        </w:pBdr>
        <w:spacing w:after="200"/>
        <w:jc w:val="both"/>
        <w:rPr>
          <w:rFonts w:ascii="Arial Narrow" w:eastAsia="Arial Narrow" w:hAnsi="Arial Narrow" w:cs="Arial Narrow"/>
        </w:rPr>
      </w:pPr>
    </w:p>
    <w:p w:rsidR="00FF1F16" w:rsidRDefault="00FF1F16">
      <w:pPr>
        <w:pBdr>
          <w:top w:val="nil"/>
          <w:left w:val="nil"/>
          <w:bottom w:val="nil"/>
          <w:right w:val="nil"/>
          <w:between w:val="nil"/>
        </w:pBdr>
        <w:spacing w:after="200"/>
        <w:jc w:val="both"/>
        <w:rPr>
          <w:rFonts w:ascii="Arial Narrow" w:eastAsia="Arial Narrow" w:hAnsi="Arial Narrow" w:cs="Arial Narrow"/>
        </w:rPr>
      </w:pPr>
    </w:p>
    <w:p w:rsidR="00FF1F16" w:rsidRDefault="00FF1F16">
      <w:pPr>
        <w:pBdr>
          <w:top w:val="nil"/>
          <w:left w:val="nil"/>
          <w:bottom w:val="nil"/>
          <w:right w:val="nil"/>
          <w:between w:val="nil"/>
        </w:pBdr>
        <w:spacing w:after="200"/>
        <w:jc w:val="both"/>
        <w:rPr>
          <w:rFonts w:ascii="Arial Narrow" w:eastAsia="Arial Narrow" w:hAnsi="Arial Narrow" w:cs="Arial Narrow"/>
        </w:rPr>
      </w:pPr>
    </w:p>
    <w:p w:rsidR="00FF1F16" w:rsidRDefault="004A6500">
      <w:pPr>
        <w:spacing w:before="240" w:after="240"/>
        <w:jc w:val="both"/>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Resultados obtenidos:</w:t>
      </w:r>
    </w:p>
    <w:p w:rsidR="00FF1F16" w:rsidRDefault="004A6500">
      <w:pPr>
        <w:pBdr>
          <w:top w:val="nil"/>
          <w:left w:val="nil"/>
          <w:bottom w:val="nil"/>
          <w:right w:val="nil"/>
          <w:between w:val="nil"/>
        </w:pBdr>
        <w:spacing w:after="200"/>
        <w:jc w:val="both"/>
        <w:rPr>
          <w:rFonts w:ascii="Arial Narrow" w:eastAsia="Arial Narrow" w:hAnsi="Arial Narrow" w:cs="Arial Narrow"/>
          <w:sz w:val="24"/>
          <w:szCs w:val="24"/>
        </w:rPr>
      </w:pPr>
      <w:r>
        <w:rPr>
          <w:rFonts w:ascii="Arial Narrow" w:eastAsia="Arial Narrow" w:hAnsi="Arial Narrow" w:cs="Arial Narrow"/>
          <w:sz w:val="24"/>
          <w:szCs w:val="24"/>
        </w:rPr>
        <w:t>Como resultado del proceso adelantado para la implementa</w:t>
      </w:r>
      <w:r>
        <w:rPr>
          <w:rFonts w:ascii="Arial Narrow" w:eastAsia="Arial Narrow" w:hAnsi="Arial Narrow" w:cs="Arial Narrow"/>
          <w:sz w:val="24"/>
          <w:szCs w:val="24"/>
        </w:rPr>
        <w:t>ción tecnológica del SETP, se mantiene vigente el contrato No. 246 de 2023 asociado al suministro, instalación, parametrización y puesta en funcionamiento de los sistemas tecnológicos del sistema.</w:t>
      </w:r>
    </w:p>
    <w:p w:rsidR="00FF1F16" w:rsidRDefault="004A6500">
      <w:pPr>
        <w:pBdr>
          <w:top w:val="nil"/>
          <w:left w:val="nil"/>
          <w:bottom w:val="nil"/>
          <w:right w:val="nil"/>
          <w:between w:val="nil"/>
        </w:pBdr>
        <w:spacing w:after="200"/>
        <w:jc w:val="both"/>
        <w:rPr>
          <w:rFonts w:ascii="Arial Narrow" w:eastAsia="Arial Narrow" w:hAnsi="Arial Narrow" w:cs="Arial Narrow"/>
          <w:sz w:val="24"/>
          <w:szCs w:val="24"/>
        </w:rPr>
      </w:pPr>
      <w:r>
        <w:rPr>
          <w:rFonts w:ascii="Arial Narrow" w:eastAsia="Arial Narrow" w:hAnsi="Arial Narrow" w:cs="Arial Narrow"/>
          <w:sz w:val="24"/>
          <w:szCs w:val="24"/>
        </w:rPr>
        <w:lastRenderedPageBreak/>
        <w:t>De igual manera, se cuenta con aproximadamente 200 kits tec</w:t>
      </w:r>
      <w:r>
        <w:rPr>
          <w:rFonts w:ascii="Arial Narrow" w:eastAsia="Arial Narrow" w:hAnsi="Arial Narrow" w:cs="Arial Narrow"/>
          <w:sz w:val="24"/>
          <w:szCs w:val="24"/>
        </w:rPr>
        <w:t>nológicos nacionalizados, destinados a la futura implementación de los componentes de recaudo, control y gestión de flota e información al usuario, constituyéndose en un avance tangible dentro del proceso de preparación tecnológica del SETP.</w:t>
      </w:r>
    </w:p>
    <w:p w:rsidR="00FF1F16" w:rsidRDefault="004A6500">
      <w:pPr>
        <w:pBdr>
          <w:top w:val="nil"/>
          <w:left w:val="nil"/>
          <w:bottom w:val="nil"/>
          <w:right w:val="nil"/>
          <w:between w:val="nil"/>
        </w:pBdr>
        <w:spacing w:after="200"/>
        <w:jc w:val="both"/>
        <w:rPr>
          <w:rFonts w:ascii="Arial Narrow" w:eastAsia="Arial Narrow" w:hAnsi="Arial Narrow" w:cs="Arial Narrow"/>
          <w:sz w:val="24"/>
          <w:szCs w:val="24"/>
        </w:rPr>
      </w:pPr>
      <w:r>
        <w:rPr>
          <w:rFonts w:ascii="Arial Narrow" w:eastAsia="Arial Narrow" w:hAnsi="Arial Narrow" w:cs="Arial Narrow"/>
          <w:sz w:val="24"/>
          <w:szCs w:val="24"/>
        </w:rPr>
        <w:t xml:space="preserve">Así mismo, se </w:t>
      </w:r>
      <w:r>
        <w:rPr>
          <w:rFonts w:ascii="Arial Narrow" w:eastAsia="Arial Narrow" w:hAnsi="Arial Narrow" w:cs="Arial Narrow"/>
          <w:sz w:val="24"/>
          <w:szCs w:val="24"/>
        </w:rPr>
        <w:t>identificó la necesidad de consolidar la interventoría ITS como componente requerido para avanzar en el cierre técnico, legal y financiero del contrato tecnológico y en los procesos de instalación, verificación y futura puesta en funcionamiento del SGCF, S</w:t>
      </w:r>
      <w:r>
        <w:rPr>
          <w:rFonts w:ascii="Arial Narrow" w:eastAsia="Arial Narrow" w:hAnsi="Arial Narrow" w:cs="Arial Narrow"/>
          <w:sz w:val="24"/>
          <w:szCs w:val="24"/>
        </w:rPr>
        <w:t>RC y SIU, necesarios para la operación integral del sistema y la puesta en funcionamiento del 100% de las rutas proyectadas.</w:t>
      </w:r>
    </w:p>
    <w:p w:rsidR="00FF1F16" w:rsidRDefault="004A6500">
      <w:pPr>
        <w:spacing w:before="240" w:after="240"/>
        <w:jc w:val="both"/>
        <w:rPr>
          <w:rFonts w:ascii="Arial Narrow" w:eastAsia="Arial Narrow" w:hAnsi="Arial Narrow" w:cs="Arial Narrow"/>
          <w:b/>
          <w:bCs/>
          <w:u w:val="single"/>
        </w:rPr>
      </w:pPr>
      <w:r>
        <w:rPr>
          <w:rFonts w:ascii="Arial Narrow" w:eastAsia="Arial Narrow" w:hAnsi="Arial Narrow" w:cs="Arial Narrow"/>
          <w:b/>
          <w:bCs/>
          <w:u w:val="single"/>
        </w:rPr>
        <w:t>Plan de trabajo para cada compromiso, con cronograma y actores implicados.</w:t>
      </w:r>
    </w:p>
    <w:tbl>
      <w:tblPr>
        <w:tblStyle w:val="a7"/>
        <w:tblW w:w="9413" w:type="dxa"/>
        <w:jc w:val="cente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187"/>
        <w:gridCol w:w="1450"/>
        <w:gridCol w:w="2776"/>
      </w:tblGrid>
      <w:tr w:rsidR="00FF1F16">
        <w:trPr>
          <w:trHeight w:val="270"/>
          <w:jc w:val="center"/>
        </w:trPr>
        <w:tc>
          <w:tcPr>
            <w:tcW w:w="5187" w:type="dxa"/>
            <w:shd w:val="clear" w:color="auto" w:fill="D0CECE"/>
            <w:vAlign w:val="center"/>
          </w:tcPr>
          <w:p w:rsidR="00FF1F16" w:rsidRDefault="004A6500">
            <w:pPr>
              <w:jc w:val="center"/>
              <w:rPr>
                <w:rFonts w:ascii="Arial Narrow" w:eastAsia="Arial Narrow" w:hAnsi="Arial Narrow" w:cs="Arial Narrow"/>
                <w:b/>
                <w:bCs/>
              </w:rPr>
            </w:pPr>
            <w:r>
              <w:rPr>
                <w:rFonts w:ascii="Arial Narrow" w:eastAsia="Arial Narrow" w:hAnsi="Arial Narrow" w:cs="Arial Narrow"/>
                <w:b/>
                <w:bCs/>
              </w:rPr>
              <w:t>Acción</w:t>
            </w:r>
          </w:p>
        </w:tc>
        <w:tc>
          <w:tcPr>
            <w:tcW w:w="1450" w:type="dxa"/>
            <w:shd w:val="clear" w:color="auto" w:fill="D0CECE"/>
            <w:vAlign w:val="center"/>
          </w:tcPr>
          <w:p w:rsidR="00FF1F16" w:rsidRDefault="004A6500">
            <w:pPr>
              <w:jc w:val="center"/>
              <w:rPr>
                <w:rFonts w:ascii="Arial Narrow" w:eastAsia="Arial Narrow" w:hAnsi="Arial Narrow" w:cs="Arial Narrow"/>
                <w:b/>
                <w:bCs/>
              </w:rPr>
            </w:pPr>
            <w:r>
              <w:rPr>
                <w:rFonts w:ascii="Arial Narrow" w:eastAsia="Arial Narrow" w:hAnsi="Arial Narrow" w:cs="Arial Narrow"/>
                <w:b/>
                <w:bCs/>
              </w:rPr>
              <w:t>Responsable</w:t>
            </w:r>
          </w:p>
        </w:tc>
        <w:tc>
          <w:tcPr>
            <w:tcW w:w="2776" w:type="dxa"/>
            <w:shd w:val="clear" w:color="auto" w:fill="D0CECE"/>
            <w:vAlign w:val="center"/>
          </w:tcPr>
          <w:p w:rsidR="00FF1F16" w:rsidRDefault="004A6500">
            <w:pPr>
              <w:jc w:val="center"/>
              <w:rPr>
                <w:rFonts w:ascii="Arial Narrow" w:eastAsia="Arial Narrow" w:hAnsi="Arial Narrow" w:cs="Arial Narrow"/>
                <w:b/>
                <w:bCs/>
              </w:rPr>
            </w:pPr>
            <w:r>
              <w:rPr>
                <w:rFonts w:ascii="Arial Narrow" w:eastAsia="Arial Narrow" w:hAnsi="Arial Narrow" w:cs="Arial Narrow"/>
                <w:b/>
                <w:bCs/>
              </w:rPr>
              <w:t>Fecha</w:t>
            </w:r>
          </w:p>
        </w:tc>
      </w:tr>
      <w:tr w:rsidR="00FF1F16">
        <w:trPr>
          <w:trHeight w:val="13"/>
          <w:jc w:val="center"/>
        </w:trPr>
        <w:tc>
          <w:tcPr>
            <w:tcW w:w="5187" w:type="dxa"/>
            <w:vAlign w:val="center"/>
          </w:tcPr>
          <w:p w:rsidR="00FF1F16" w:rsidRDefault="004A6500">
            <w:pPr>
              <w:rPr>
                <w:rFonts w:ascii="Arial Narrow" w:eastAsia="Arial Narrow" w:hAnsi="Arial Narrow" w:cs="Arial Narrow"/>
              </w:rPr>
            </w:pPr>
            <w:r>
              <w:rPr>
                <w:rFonts w:ascii="Arial Narrow" w:eastAsia="Arial Narrow" w:hAnsi="Arial Narrow" w:cs="Arial Narrow"/>
              </w:rPr>
              <w:t>Inicio interventoría</w:t>
            </w:r>
          </w:p>
        </w:tc>
        <w:tc>
          <w:tcPr>
            <w:tcW w:w="1450" w:type="dxa"/>
            <w:vAlign w:val="center"/>
          </w:tcPr>
          <w:p w:rsidR="00FF1F16" w:rsidRDefault="004A6500">
            <w:pPr>
              <w:rPr>
                <w:rFonts w:ascii="Arial Narrow" w:eastAsia="Arial Narrow" w:hAnsi="Arial Narrow" w:cs="Arial Narrow"/>
              </w:rPr>
            </w:pPr>
            <w:r>
              <w:rPr>
                <w:rFonts w:ascii="Arial Narrow" w:eastAsia="Arial Narrow" w:hAnsi="Arial Narrow" w:cs="Arial Narrow"/>
              </w:rPr>
              <w:t>Ente Gestor</w:t>
            </w:r>
          </w:p>
        </w:tc>
        <w:tc>
          <w:tcPr>
            <w:tcW w:w="2776" w:type="dxa"/>
            <w:vAlign w:val="center"/>
          </w:tcPr>
          <w:p w:rsidR="00FF1F16" w:rsidRDefault="004A6500">
            <w:pPr>
              <w:rPr>
                <w:rFonts w:ascii="Arial Narrow" w:eastAsia="Arial Narrow" w:hAnsi="Arial Narrow" w:cs="Arial Narrow"/>
              </w:rPr>
            </w:pPr>
            <w:r>
              <w:rPr>
                <w:rFonts w:ascii="Arial Narrow" w:eastAsia="Arial Narrow" w:hAnsi="Arial Narrow" w:cs="Arial Narrow"/>
              </w:rPr>
              <w:t>Julio de 2026</w:t>
            </w:r>
          </w:p>
        </w:tc>
      </w:tr>
      <w:tr w:rsidR="00FF1F16">
        <w:trPr>
          <w:trHeight w:val="272"/>
          <w:jc w:val="center"/>
        </w:trPr>
        <w:tc>
          <w:tcPr>
            <w:tcW w:w="5187" w:type="dxa"/>
            <w:vAlign w:val="center"/>
          </w:tcPr>
          <w:p w:rsidR="00FF1F16" w:rsidRDefault="004A6500">
            <w:pPr>
              <w:rPr>
                <w:rFonts w:ascii="Arial Narrow" w:eastAsia="Arial Narrow" w:hAnsi="Arial Narrow" w:cs="Arial Narrow"/>
              </w:rPr>
            </w:pPr>
            <w:r>
              <w:rPr>
                <w:rFonts w:ascii="Arial Narrow" w:eastAsia="Arial Narrow" w:hAnsi="Arial Narrow" w:cs="Arial Narrow"/>
              </w:rPr>
              <w:t>Reinicio contrato 246 de 2026 (Tecnología SGCF, SGCR y SIU)</w:t>
            </w:r>
          </w:p>
        </w:tc>
        <w:tc>
          <w:tcPr>
            <w:tcW w:w="1450" w:type="dxa"/>
            <w:vAlign w:val="center"/>
          </w:tcPr>
          <w:p w:rsidR="00FF1F16" w:rsidRDefault="004A6500">
            <w:pPr>
              <w:rPr>
                <w:rFonts w:ascii="Arial Narrow" w:eastAsia="Arial Narrow" w:hAnsi="Arial Narrow" w:cs="Arial Narrow"/>
              </w:rPr>
            </w:pPr>
            <w:r>
              <w:rPr>
                <w:rFonts w:ascii="Arial Narrow" w:eastAsia="Arial Narrow" w:hAnsi="Arial Narrow" w:cs="Arial Narrow"/>
              </w:rPr>
              <w:t>STTM</w:t>
            </w:r>
          </w:p>
        </w:tc>
        <w:tc>
          <w:tcPr>
            <w:tcW w:w="2776" w:type="dxa"/>
            <w:vAlign w:val="center"/>
          </w:tcPr>
          <w:p w:rsidR="00FF1F16" w:rsidRDefault="004A6500">
            <w:pPr>
              <w:rPr>
                <w:rFonts w:ascii="Arial Narrow" w:eastAsia="Arial Narrow" w:hAnsi="Arial Narrow" w:cs="Arial Narrow"/>
              </w:rPr>
            </w:pPr>
            <w:r>
              <w:rPr>
                <w:rFonts w:ascii="Arial Narrow" w:eastAsia="Arial Narrow" w:hAnsi="Arial Narrow" w:cs="Arial Narrow"/>
              </w:rPr>
              <w:t>Julio de 2026</w:t>
            </w:r>
          </w:p>
        </w:tc>
      </w:tr>
      <w:tr w:rsidR="00FF1F16">
        <w:trPr>
          <w:trHeight w:val="216"/>
          <w:jc w:val="center"/>
        </w:trPr>
        <w:tc>
          <w:tcPr>
            <w:tcW w:w="5187" w:type="dxa"/>
            <w:vAlign w:val="center"/>
          </w:tcPr>
          <w:p w:rsidR="00FF1F16" w:rsidRDefault="004A6500">
            <w:pPr>
              <w:rPr>
                <w:rFonts w:ascii="Arial Narrow" w:eastAsia="Arial Narrow" w:hAnsi="Arial Narrow" w:cs="Arial Narrow"/>
              </w:rPr>
            </w:pPr>
            <w:r>
              <w:rPr>
                <w:rFonts w:ascii="Arial Narrow" w:eastAsia="Arial Narrow" w:hAnsi="Arial Narrow" w:cs="Arial Narrow"/>
              </w:rPr>
              <w:t>Ejecución Contrato 246 de 2023</w:t>
            </w:r>
          </w:p>
        </w:tc>
        <w:tc>
          <w:tcPr>
            <w:tcW w:w="1450" w:type="dxa"/>
          </w:tcPr>
          <w:p w:rsidR="00FF1F16" w:rsidRDefault="004A6500">
            <w:pPr>
              <w:rPr>
                <w:rFonts w:ascii="Arial Narrow" w:eastAsia="Arial Narrow" w:hAnsi="Arial Narrow" w:cs="Arial Narrow"/>
              </w:rPr>
            </w:pPr>
            <w:r>
              <w:rPr>
                <w:rFonts w:ascii="Arial Narrow" w:eastAsia="Arial Narrow" w:hAnsi="Arial Narrow" w:cs="Arial Narrow"/>
              </w:rPr>
              <w:t>Ente Gestor</w:t>
            </w:r>
          </w:p>
        </w:tc>
        <w:tc>
          <w:tcPr>
            <w:tcW w:w="2776" w:type="dxa"/>
            <w:vAlign w:val="center"/>
          </w:tcPr>
          <w:p w:rsidR="00FF1F16" w:rsidRDefault="004A6500">
            <w:pPr>
              <w:rPr>
                <w:rFonts w:ascii="Arial Narrow" w:eastAsia="Arial Narrow" w:hAnsi="Arial Narrow" w:cs="Arial Narrow"/>
              </w:rPr>
            </w:pPr>
            <w:r>
              <w:rPr>
                <w:rFonts w:ascii="Arial Narrow" w:eastAsia="Arial Narrow" w:hAnsi="Arial Narrow" w:cs="Arial Narrow"/>
              </w:rPr>
              <w:t>Diciembre de 2026</w:t>
            </w:r>
          </w:p>
        </w:tc>
      </w:tr>
      <w:tr w:rsidR="00FF1F16">
        <w:trPr>
          <w:trHeight w:val="13"/>
          <w:jc w:val="center"/>
        </w:trPr>
        <w:tc>
          <w:tcPr>
            <w:tcW w:w="5187" w:type="dxa"/>
            <w:vAlign w:val="center"/>
          </w:tcPr>
          <w:p w:rsidR="00FF1F16" w:rsidRDefault="004A6500">
            <w:pPr>
              <w:rPr>
                <w:rFonts w:ascii="Arial Narrow" w:eastAsia="Arial Narrow" w:hAnsi="Arial Narrow" w:cs="Arial Narrow"/>
              </w:rPr>
            </w:pPr>
            <w:r>
              <w:rPr>
                <w:rFonts w:ascii="Arial Narrow" w:eastAsia="Arial Narrow" w:hAnsi="Arial Narrow" w:cs="Arial Narrow"/>
              </w:rPr>
              <w:t>Conformación del operador de recaudo</w:t>
            </w:r>
          </w:p>
        </w:tc>
        <w:tc>
          <w:tcPr>
            <w:tcW w:w="1450" w:type="dxa"/>
          </w:tcPr>
          <w:p w:rsidR="00FF1F16" w:rsidRDefault="004A6500">
            <w:pPr>
              <w:rPr>
                <w:rFonts w:ascii="Arial Narrow" w:eastAsia="Arial Narrow" w:hAnsi="Arial Narrow" w:cs="Arial Narrow"/>
              </w:rPr>
            </w:pPr>
            <w:r>
              <w:rPr>
                <w:rFonts w:ascii="Arial Narrow" w:eastAsia="Arial Narrow" w:hAnsi="Arial Narrow" w:cs="Arial Narrow"/>
              </w:rPr>
              <w:t>Ente Gestor</w:t>
            </w:r>
          </w:p>
        </w:tc>
        <w:tc>
          <w:tcPr>
            <w:tcW w:w="2776" w:type="dxa"/>
            <w:vAlign w:val="center"/>
          </w:tcPr>
          <w:p w:rsidR="00FF1F16" w:rsidRDefault="004A6500">
            <w:pPr>
              <w:rPr>
                <w:rFonts w:ascii="Arial Narrow" w:eastAsia="Arial Narrow" w:hAnsi="Arial Narrow" w:cs="Arial Narrow"/>
              </w:rPr>
            </w:pPr>
            <w:r>
              <w:rPr>
                <w:rFonts w:ascii="Arial Narrow" w:eastAsia="Arial Narrow" w:hAnsi="Arial Narrow" w:cs="Arial Narrow"/>
              </w:rPr>
              <w:t>Septiembre de 2026</w:t>
            </w:r>
          </w:p>
        </w:tc>
      </w:tr>
      <w:tr w:rsidR="00FF1F16">
        <w:trPr>
          <w:trHeight w:val="13"/>
          <w:jc w:val="center"/>
        </w:trPr>
        <w:tc>
          <w:tcPr>
            <w:tcW w:w="5187" w:type="dxa"/>
            <w:vAlign w:val="center"/>
          </w:tcPr>
          <w:p w:rsidR="00FF1F16" w:rsidRDefault="004A6500">
            <w:pPr>
              <w:rPr>
                <w:rFonts w:ascii="Arial Narrow" w:eastAsia="Arial Narrow" w:hAnsi="Arial Narrow" w:cs="Arial Narrow"/>
              </w:rPr>
            </w:pPr>
            <w:r>
              <w:rPr>
                <w:rFonts w:ascii="Arial Narrow" w:eastAsia="Arial Narrow" w:hAnsi="Arial Narrow" w:cs="Arial Narrow"/>
              </w:rPr>
              <w:t>Funcionamiento SGCF- SGCR y SIU</w:t>
            </w:r>
          </w:p>
        </w:tc>
        <w:tc>
          <w:tcPr>
            <w:tcW w:w="1450" w:type="dxa"/>
          </w:tcPr>
          <w:p w:rsidR="00FF1F16" w:rsidRDefault="004A6500">
            <w:pPr>
              <w:rPr>
                <w:rFonts w:ascii="Arial Narrow" w:eastAsia="Arial Narrow" w:hAnsi="Arial Narrow" w:cs="Arial Narrow"/>
              </w:rPr>
            </w:pPr>
            <w:r>
              <w:rPr>
                <w:rFonts w:ascii="Arial Narrow" w:eastAsia="Arial Narrow" w:hAnsi="Arial Narrow" w:cs="Arial Narrow"/>
              </w:rPr>
              <w:t>Ente Gestor</w:t>
            </w:r>
          </w:p>
        </w:tc>
        <w:tc>
          <w:tcPr>
            <w:tcW w:w="2776" w:type="dxa"/>
            <w:vAlign w:val="center"/>
          </w:tcPr>
          <w:p w:rsidR="00FF1F16" w:rsidRDefault="004A6500">
            <w:pPr>
              <w:rPr>
                <w:rFonts w:ascii="Arial Narrow" w:eastAsia="Arial Narrow" w:hAnsi="Arial Narrow" w:cs="Arial Narrow"/>
              </w:rPr>
            </w:pPr>
            <w:r>
              <w:rPr>
                <w:rFonts w:ascii="Arial Narrow" w:eastAsia="Arial Narrow" w:hAnsi="Arial Narrow" w:cs="Arial Narrow"/>
              </w:rPr>
              <w:t>Noviembre de 2026</w:t>
            </w:r>
          </w:p>
        </w:tc>
      </w:tr>
      <w:tr w:rsidR="00FF1F16">
        <w:trPr>
          <w:trHeight w:val="13"/>
          <w:jc w:val="center"/>
        </w:trPr>
        <w:tc>
          <w:tcPr>
            <w:tcW w:w="5187" w:type="dxa"/>
            <w:vAlign w:val="center"/>
          </w:tcPr>
          <w:p w:rsidR="00FF1F16" w:rsidRDefault="004A6500">
            <w:pPr>
              <w:rPr>
                <w:rFonts w:ascii="Arial Narrow" w:eastAsia="Arial Narrow" w:hAnsi="Arial Narrow" w:cs="Arial Narrow"/>
              </w:rPr>
            </w:pPr>
            <w:r>
              <w:rPr>
                <w:rFonts w:ascii="Arial Narrow" w:eastAsia="Arial Narrow" w:hAnsi="Arial Narrow" w:cs="Arial Narrow"/>
              </w:rPr>
              <w:t>Certificación por parte de la interventoría y del STTM del funcionamiento de los sistemas</w:t>
            </w:r>
          </w:p>
        </w:tc>
        <w:tc>
          <w:tcPr>
            <w:tcW w:w="1450" w:type="dxa"/>
          </w:tcPr>
          <w:p w:rsidR="00FF1F16" w:rsidRDefault="004A6500">
            <w:pPr>
              <w:rPr>
                <w:rFonts w:ascii="Arial Narrow" w:eastAsia="Arial Narrow" w:hAnsi="Arial Narrow" w:cs="Arial Narrow"/>
              </w:rPr>
            </w:pPr>
            <w:r>
              <w:rPr>
                <w:rFonts w:ascii="Arial Narrow" w:eastAsia="Arial Narrow" w:hAnsi="Arial Narrow" w:cs="Arial Narrow"/>
              </w:rPr>
              <w:t>Ente Gestor</w:t>
            </w:r>
          </w:p>
        </w:tc>
        <w:tc>
          <w:tcPr>
            <w:tcW w:w="2776" w:type="dxa"/>
            <w:vAlign w:val="center"/>
          </w:tcPr>
          <w:p w:rsidR="00FF1F16" w:rsidRDefault="004A6500">
            <w:pPr>
              <w:rPr>
                <w:rFonts w:ascii="Arial Narrow" w:eastAsia="Arial Narrow" w:hAnsi="Arial Narrow" w:cs="Arial Narrow"/>
              </w:rPr>
            </w:pPr>
            <w:r>
              <w:rPr>
                <w:rFonts w:ascii="Arial Narrow" w:eastAsia="Arial Narrow" w:hAnsi="Arial Narrow" w:cs="Arial Narrow"/>
              </w:rPr>
              <w:t>Noviembre de 2026</w:t>
            </w:r>
          </w:p>
        </w:tc>
      </w:tr>
    </w:tbl>
    <w:p w:rsidR="00FF1F16" w:rsidRDefault="00FF1F16">
      <w:pPr>
        <w:rPr>
          <w:rFonts w:ascii="Arial Narrow" w:eastAsia="Arial Narrow" w:hAnsi="Arial Narrow" w:cs="Arial Narrow"/>
          <w:sz w:val="18"/>
          <w:szCs w:val="18"/>
        </w:rPr>
      </w:pPr>
    </w:p>
    <w:p w:rsidR="00FF1F16" w:rsidRDefault="004A6500">
      <w:pPr>
        <w:spacing w:before="240" w:after="240"/>
        <w:jc w:val="both"/>
        <w:rPr>
          <w:rFonts w:ascii="Arial Narrow" w:eastAsia="Arial Narrow" w:hAnsi="Arial Narrow" w:cs="Arial Narrow"/>
        </w:rPr>
      </w:pPr>
      <w:r>
        <w:rPr>
          <w:rFonts w:ascii="Arial Narrow" w:eastAsia="Arial Narrow" w:hAnsi="Arial Narrow" w:cs="Arial Narrow"/>
          <w:b/>
          <w:bCs/>
          <w:u w:val="single"/>
        </w:rPr>
        <w:t>Propuesta de reprogramación de fechas:</w:t>
      </w:r>
      <w:r>
        <w:rPr>
          <w:rFonts w:ascii="Arial Narrow" w:eastAsia="Arial Narrow" w:hAnsi="Arial Narrow" w:cs="Arial Narrow"/>
          <w:b/>
          <w:bCs/>
        </w:rPr>
        <w:t xml:space="preserve"> </w:t>
      </w:r>
    </w:p>
    <w:tbl>
      <w:tblPr>
        <w:tblStyle w:val="a8"/>
        <w:tblW w:w="9255"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3675"/>
        <w:gridCol w:w="2640"/>
        <w:gridCol w:w="2940"/>
      </w:tblGrid>
      <w:tr w:rsidR="00FF1F16">
        <w:tc>
          <w:tcPr>
            <w:tcW w:w="3675" w:type="dxa"/>
            <w:shd w:val="clear" w:color="auto" w:fill="E7E6E6"/>
          </w:tcPr>
          <w:p w:rsidR="00FF1F16" w:rsidRDefault="004A6500">
            <w:pPr>
              <w:jc w:val="center"/>
              <w:rPr>
                <w:rFonts w:ascii="Arial Narrow" w:eastAsia="Arial Narrow" w:hAnsi="Arial Narrow" w:cs="Arial Narrow"/>
                <w:b/>
                <w:bCs/>
                <w:sz w:val="20"/>
                <w:szCs w:val="20"/>
              </w:rPr>
            </w:pPr>
            <w:r>
              <w:rPr>
                <w:rFonts w:ascii="Arial Narrow" w:eastAsia="Arial Narrow" w:hAnsi="Arial Narrow" w:cs="Arial Narrow"/>
                <w:b/>
                <w:bCs/>
                <w:sz w:val="20"/>
                <w:szCs w:val="20"/>
              </w:rPr>
              <w:t>Compromiso</w:t>
            </w:r>
          </w:p>
        </w:tc>
        <w:tc>
          <w:tcPr>
            <w:tcW w:w="2640" w:type="dxa"/>
            <w:shd w:val="clear" w:color="auto" w:fill="E7E6E6"/>
          </w:tcPr>
          <w:p w:rsidR="00FF1F16" w:rsidRDefault="004A6500">
            <w:pPr>
              <w:jc w:val="center"/>
              <w:rPr>
                <w:rFonts w:ascii="Arial Narrow" w:eastAsia="Arial Narrow" w:hAnsi="Arial Narrow" w:cs="Arial Narrow"/>
                <w:b/>
                <w:bCs/>
                <w:sz w:val="20"/>
                <w:szCs w:val="20"/>
              </w:rPr>
            </w:pPr>
            <w:r>
              <w:rPr>
                <w:rFonts w:ascii="Arial Narrow" w:eastAsia="Arial Narrow" w:hAnsi="Arial Narrow" w:cs="Arial Narrow"/>
                <w:b/>
                <w:bCs/>
                <w:sz w:val="20"/>
                <w:szCs w:val="20"/>
              </w:rPr>
              <w:t>Responsable</w:t>
            </w:r>
          </w:p>
        </w:tc>
        <w:tc>
          <w:tcPr>
            <w:tcW w:w="2940" w:type="dxa"/>
            <w:shd w:val="clear" w:color="auto" w:fill="E7E6E6"/>
          </w:tcPr>
          <w:p w:rsidR="00FF1F16" w:rsidRDefault="004A6500">
            <w:pPr>
              <w:jc w:val="center"/>
              <w:rPr>
                <w:rFonts w:ascii="Arial Narrow" w:eastAsia="Arial Narrow" w:hAnsi="Arial Narrow" w:cs="Arial Narrow"/>
                <w:b/>
                <w:bCs/>
                <w:sz w:val="20"/>
                <w:szCs w:val="20"/>
              </w:rPr>
            </w:pPr>
            <w:r>
              <w:rPr>
                <w:rFonts w:ascii="Arial Narrow" w:eastAsia="Arial Narrow" w:hAnsi="Arial Narrow" w:cs="Arial Narrow"/>
                <w:b/>
                <w:bCs/>
                <w:sz w:val="20"/>
                <w:szCs w:val="20"/>
              </w:rPr>
              <w:t>Nueva fecha</w:t>
            </w:r>
          </w:p>
        </w:tc>
      </w:tr>
      <w:tr w:rsidR="00FF1F16">
        <w:trPr>
          <w:trHeight w:val="482"/>
        </w:trPr>
        <w:tc>
          <w:tcPr>
            <w:tcW w:w="3675" w:type="dxa"/>
            <w:vAlign w:val="center"/>
          </w:tcPr>
          <w:p w:rsidR="00FF1F16" w:rsidRDefault="004A6500">
            <w:pPr>
              <w:numPr>
                <w:ilvl w:val="0"/>
                <w:numId w:val="4"/>
              </w:numPr>
              <w:spacing w:line="240" w:lineRule="auto"/>
              <w:ind w:left="283"/>
              <w:rPr>
                <w:rFonts w:ascii="Arial Narrow" w:eastAsia="Arial Narrow" w:hAnsi="Arial Narrow" w:cs="Arial Narrow"/>
                <w:sz w:val="20"/>
                <w:szCs w:val="20"/>
              </w:rPr>
            </w:pPr>
            <w:r>
              <w:rPr>
                <w:rFonts w:ascii="Arial Narrow" w:eastAsia="Arial Narrow" w:hAnsi="Arial Narrow" w:cs="Arial Narrow"/>
                <w:sz w:val="20"/>
                <w:szCs w:val="20"/>
              </w:rPr>
              <w:t>Cerrar técnica, legal y financieramente el contrato tecnológico.</w:t>
            </w:r>
          </w:p>
          <w:p w:rsidR="00FF1F16" w:rsidRDefault="00FF1F16">
            <w:pPr>
              <w:rPr>
                <w:rFonts w:ascii="Arial Narrow" w:eastAsia="Arial Narrow" w:hAnsi="Arial Narrow" w:cs="Arial Narrow"/>
                <w:sz w:val="20"/>
                <w:szCs w:val="20"/>
              </w:rPr>
            </w:pPr>
          </w:p>
        </w:tc>
        <w:tc>
          <w:tcPr>
            <w:tcW w:w="2640" w:type="dxa"/>
            <w:vMerge w:val="restart"/>
            <w:vAlign w:val="center"/>
          </w:tcPr>
          <w:p w:rsidR="00FF1F16" w:rsidRDefault="004A6500">
            <w:pPr>
              <w:jc w:val="center"/>
              <w:rPr>
                <w:rFonts w:ascii="Arial Narrow" w:eastAsia="Arial Narrow" w:hAnsi="Arial Narrow" w:cs="Arial Narrow"/>
                <w:sz w:val="20"/>
                <w:szCs w:val="20"/>
              </w:rPr>
            </w:pPr>
            <w:r>
              <w:rPr>
                <w:rFonts w:ascii="Arial Narrow" w:eastAsia="Arial Narrow" w:hAnsi="Arial Narrow" w:cs="Arial Narrow"/>
                <w:sz w:val="20"/>
                <w:szCs w:val="20"/>
              </w:rPr>
              <w:t>Ente Gestor</w:t>
            </w:r>
          </w:p>
        </w:tc>
        <w:tc>
          <w:tcPr>
            <w:tcW w:w="2940" w:type="dxa"/>
            <w:vAlign w:val="center"/>
          </w:tcPr>
          <w:p w:rsidR="00FF1F16" w:rsidRDefault="004A6500">
            <w:pPr>
              <w:jc w:val="center"/>
              <w:rPr>
                <w:rFonts w:ascii="Arial Narrow" w:eastAsia="Arial Narrow" w:hAnsi="Arial Narrow" w:cs="Arial Narrow"/>
                <w:sz w:val="20"/>
                <w:szCs w:val="20"/>
              </w:rPr>
            </w:pPr>
            <w:r>
              <w:rPr>
                <w:rFonts w:ascii="Arial Narrow" w:eastAsia="Arial Narrow" w:hAnsi="Arial Narrow" w:cs="Arial Narrow"/>
                <w:sz w:val="20"/>
                <w:szCs w:val="20"/>
              </w:rPr>
              <w:t>Mayo 2027</w:t>
            </w:r>
          </w:p>
        </w:tc>
      </w:tr>
      <w:tr w:rsidR="00FF1F16">
        <w:tc>
          <w:tcPr>
            <w:tcW w:w="3675" w:type="dxa"/>
          </w:tcPr>
          <w:p w:rsidR="00FF1F16" w:rsidRDefault="004A6500">
            <w:pPr>
              <w:numPr>
                <w:ilvl w:val="0"/>
                <w:numId w:val="4"/>
              </w:numPr>
              <w:spacing w:line="240" w:lineRule="auto"/>
              <w:ind w:left="283"/>
              <w:rPr>
                <w:rFonts w:ascii="Arial Narrow" w:eastAsia="Arial Narrow" w:hAnsi="Arial Narrow" w:cs="Arial Narrow"/>
                <w:sz w:val="20"/>
                <w:szCs w:val="20"/>
              </w:rPr>
            </w:pPr>
            <w:r>
              <w:rPr>
                <w:rFonts w:ascii="Arial Narrow" w:eastAsia="Arial Narrow" w:hAnsi="Arial Narrow" w:cs="Arial Narrow"/>
                <w:sz w:val="20"/>
                <w:szCs w:val="20"/>
              </w:rPr>
              <w:t>Garantizar la instalación del 60% de la tecnología de recaudo y el funcionamiento del SGCF.</w:t>
            </w:r>
          </w:p>
          <w:p w:rsidR="00FF1F16" w:rsidRDefault="00FF1F16">
            <w:pPr>
              <w:ind w:left="306"/>
              <w:rPr>
                <w:rFonts w:ascii="Arial Narrow" w:eastAsia="Arial Narrow" w:hAnsi="Arial Narrow" w:cs="Arial Narrow"/>
                <w:sz w:val="20"/>
                <w:szCs w:val="20"/>
              </w:rPr>
            </w:pPr>
          </w:p>
        </w:tc>
        <w:tc>
          <w:tcPr>
            <w:tcW w:w="2640" w:type="dxa"/>
            <w:vMerge/>
            <w:vAlign w:val="center"/>
          </w:tcPr>
          <w:p w:rsidR="00FF1F16" w:rsidRDefault="00FF1F16">
            <w:pPr>
              <w:widowControl w:val="0"/>
              <w:rPr>
                <w:rFonts w:ascii="Arial Narrow" w:eastAsia="Arial Narrow" w:hAnsi="Arial Narrow" w:cs="Arial Narrow"/>
                <w:sz w:val="20"/>
                <w:szCs w:val="20"/>
              </w:rPr>
            </w:pPr>
          </w:p>
        </w:tc>
        <w:tc>
          <w:tcPr>
            <w:tcW w:w="2940" w:type="dxa"/>
            <w:vAlign w:val="center"/>
          </w:tcPr>
          <w:p w:rsidR="00FF1F16" w:rsidRDefault="004A6500">
            <w:pPr>
              <w:jc w:val="center"/>
              <w:rPr>
                <w:rFonts w:ascii="Arial Narrow" w:eastAsia="Arial Narrow" w:hAnsi="Arial Narrow" w:cs="Arial Narrow"/>
                <w:sz w:val="20"/>
                <w:szCs w:val="20"/>
              </w:rPr>
            </w:pPr>
            <w:r>
              <w:rPr>
                <w:rFonts w:ascii="Arial Narrow" w:eastAsia="Arial Narrow" w:hAnsi="Arial Narrow" w:cs="Arial Narrow"/>
                <w:sz w:val="20"/>
                <w:szCs w:val="20"/>
              </w:rPr>
              <w:t>Noviembre 2026</w:t>
            </w:r>
          </w:p>
        </w:tc>
      </w:tr>
      <w:tr w:rsidR="00FF1F16">
        <w:tc>
          <w:tcPr>
            <w:tcW w:w="3675" w:type="dxa"/>
          </w:tcPr>
          <w:p w:rsidR="00FF1F16" w:rsidRDefault="004A6500">
            <w:pPr>
              <w:numPr>
                <w:ilvl w:val="0"/>
                <w:numId w:val="4"/>
              </w:numPr>
              <w:spacing w:line="240" w:lineRule="auto"/>
              <w:ind w:left="283"/>
              <w:rPr>
                <w:rFonts w:ascii="Arial Narrow" w:eastAsia="Arial Narrow" w:hAnsi="Arial Narrow" w:cs="Arial Narrow"/>
                <w:sz w:val="20"/>
                <w:szCs w:val="20"/>
              </w:rPr>
            </w:pPr>
            <w:r>
              <w:rPr>
                <w:rFonts w:ascii="Arial Narrow" w:eastAsia="Arial Narrow" w:hAnsi="Arial Narrow" w:cs="Arial Narrow"/>
                <w:sz w:val="20"/>
                <w:szCs w:val="20"/>
              </w:rPr>
              <w:t>Garantizar la instalación del 100% de la tecnología de recaudo.</w:t>
            </w:r>
          </w:p>
          <w:p w:rsidR="00FF1F16" w:rsidRDefault="00FF1F16">
            <w:pPr>
              <w:spacing w:line="240" w:lineRule="auto"/>
              <w:ind w:left="306"/>
              <w:rPr>
                <w:rFonts w:ascii="Arial Narrow" w:eastAsia="Arial Narrow" w:hAnsi="Arial Narrow" w:cs="Arial Narrow"/>
                <w:sz w:val="20"/>
                <w:szCs w:val="20"/>
              </w:rPr>
            </w:pPr>
          </w:p>
        </w:tc>
        <w:tc>
          <w:tcPr>
            <w:tcW w:w="2640" w:type="dxa"/>
            <w:vMerge/>
            <w:vAlign w:val="center"/>
          </w:tcPr>
          <w:p w:rsidR="00FF1F16" w:rsidRDefault="00FF1F16">
            <w:pPr>
              <w:widowControl w:val="0"/>
              <w:rPr>
                <w:rFonts w:ascii="Arial Narrow" w:eastAsia="Arial Narrow" w:hAnsi="Arial Narrow" w:cs="Arial Narrow"/>
                <w:sz w:val="20"/>
                <w:szCs w:val="20"/>
              </w:rPr>
            </w:pPr>
          </w:p>
        </w:tc>
        <w:tc>
          <w:tcPr>
            <w:tcW w:w="2940" w:type="dxa"/>
            <w:vAlign w:val="center"/>
          </w:tcPr>
          <w:p w:rsidR="00FF1F16" w:rsidRDefault="004A6500">
            <w:pPr>
              <w:jc w:val="center"/>
              <w:rPr>
                <w:rFonts w:ascii="Arial Narrow" w:eastAsia="Arial Narrow" w:hAnsi="Arial Narrow" w:cs="Arial Narrow"/>
                <w:sz w:val="20"/>
                <w:szCs w:val="20"/>
              </w:rPr>
            </w:pPr>
            <w:r>
              <w:rPr>
                <w:rFonts w:ascii="Arial Narrow" w:eastAsia="Arial Narrow" w:hAnsi="Arial Narrow" w:cs="Arial Narrow"/>
                <w:sz w:val="20"/>
                <w:szCs w:val="20"/>
              </w:rPr>
              <w:t>Mayo 2027</w:t>
            </w:r>
          </w:p>
        </w:tc>
      </w:tr>
    </w:tbl>
    <w:p w:rsidR="00FF1F16" w:rsidRDefault="00FF1F16">
      <w:pPr>
        <w:rPr>
          <w:rFonts w:ascii="Arial Narrow" w:eastAsia="Arial Narrow" w:hAnsi="Arial Narrow" w:cs="Arial Narrow"/>
        </w:rPr>
      </w:pPr>
    </w:p>
    <w:p w:rsidR="00FF1F16" w:rsidRDefault="00FF1F16">
      <w:pPr>
        <w:rPr>
          <w:rFonts w:ascii="Arial Narrow" w:eastAsia="Arial Narrow" w:hAnsi="Arial Narrow" w:cs="Arial Narrow"/>
          <w:b/>
          <w:bCs/>
          <w:sz w:val="24"/>
          <w:szCs w:val="24"/>
        </w:rPr>
      </w:pPr>
    </w:p>
    <w:p w:rsidR="00FF1F16" w:rsidRDefault="00FF1F16">
      <w:pPr>
        <w:rPr>
          <w:rFonts w:ascii="Arial Narrow" w:eastAsia="Arial Narrow" w:hAnsi="Arial Narrow" w:cs="Arial Narrow"/>
          <w:b/>
          <w:bCs/>
          <w:sz w:val="24"/>
          <w:szCs w:val="24"/>
        </w:rPr>
      </w:pPr>
    </w:p>
    <w:p w:rsidR="00FF1F16" w:rsidRDefault="004A6500">
      <w:pPr>
        <w:rPr>
          <w:rFonts w:ascii="Arial Narrow" w:eastAsia="Arial Narrow" w:hAnsi="Arial Narrow" w:cs="Arial Narrow"/>
          <w:b/>
          <w:bCs/>
          <w:color w:val="000000"/>
          <w:sz w:val="24"/>
          <w:szCs w:val="24"/>
        </w:rPr>
      </w:pPr>
      <w:r>
        <w:rPr>
          <w:rFonts w:ascii="Arial Narrow" w:eastAsia="Arial Narrow" w:hAnsi="Arial Narrow" w:cs="Arial Narrow"/>
          <w:b/>
          <w:bCs/>
          <w:color w:val="000000"/>
          <w:sz w:val="24"/>
          <w:szCs w:val="24"/>
        </w:rPr>
        <w:t>8. PROBLEMAS DE DIFERENCIA ENTRE LA TARIFA TÉCNICA Y LA TARIFA AL USUARIO (DÉFICIT OPERACIONAL</w:t>
      </w:r>
    </w:p>
    <w:p w:rsidR="00FF1F16" w:rsidRDefault="00FF1F16">
      <w:pPr>
        <w:rPr>
          <w:rFonts w:ascii="Arial Narrow" w:eastAsia="Arial Narrow" w:hAnsi="Arial Narrow" w:cs="Arial Narrow"/>
          <w:b/>
          <w:bCs/>
          <w:sz w:val="24"/>
          <w:szCs w:val="24"/>
        </w:rPr>
      </w:pPr>
    </w:p>
    <w:p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sz w:val="24"/>
          <w:szCs w:val="24"/>
        </w:rPr>
        <w:lastRenderedPageBreak/>
        <w:t>Compromiso 1:</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I. Actualizar los modelos financieros y necesidad de recursos en el FET.</w:t>
      </w:r>
    </w:p>
    <w:p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color w:val="000000"/>
          <w:sz w:val="24"/>
          <w:szCs w:val="24"/>
        </w:rPr>
        <w:t>Responsable:</w:t>
      </w:r>
      <w:r>
        <w:rPr>
          <w:rFonts w:ascii="Arial Narrow" w:eastAsia="Arial Narrow" w:hAnsi="Arial Narrow" w:cs="Arial Narrow"/>
          <w:color w:val="000000"/>
          <w:sz w:val="24"/>
          <w:szCs w:val="24"/>
        </w:rPr>
        <w:t xml:space="preserve"> Ente Gestor </w:t>
      </w:r>
    </w:p>
    <w:p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sz w:val="24"/>
          <w:szCs w:val="24"/>
        </w:rPr>
        <w:t>Fecha inicial límite:</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diciembre 2026</w:t>
      </w:r>
    </w:p>
    <w:p w:rsidR="00FF1F16" w:rsidRDefault="00FF1F16">
      <w:pPr>
        <w:rPr>
          <w:rFonts w:ascii="Arial Narrow" w:eastAsia="Arial Narrow" w:hAnsi="Arial Narrow" w:cs="Arial Narrow"/>
          <w:b/>
          <w:bCs/>
          <w:sz w:val="24"/>
          <w:szCs w:val="24"/>
        </w:rPr>
      </w:pPr>
    </w:p>
    <w:p w:rsidR="00FF1F16" w:rsidRDefault="004A6500">
      <w:pPr>
        <w:rPr>
          <w:rFonts w:ascii="Arial Narrow" w:eastAsia="Arial Narrow" w:hAnsi="Arial Narrow" w:cs="Arial Narrow"/>
          <w:sz w:val="24"/>
          <w:szCs w:val="24"/>
          <w:u w:val="single"/>
        </w:rPr>
      </w:pPr>
      <w:r>
        <w:rPr>
          <w:rFonts w:ascii="Arial Narrow" w:eastAsia="Arial Narrow" w:hAnsi="Arial Narrow" w:cs="Arial Narrow"/>
          <w:b/>
          <w:bCs/>
          <w:sz w:val="24"/>
          <w:szCs w:val="24"/>
          <w:u w:val="single"/>
        </w:rPr>
        <w:t>Acciones adelantadas</w:t>
      </w:r>
      <w:r>
        <w:rPr>
          <w:rFonts w:ascii="Arial Narrow" w:eastAsia="Arial Narrow" w:hAnsi="Arial Narrow" w:cs="Arial Narrow"/>
          <w:sz w:val="24"/>
          <w:szCs w:val="24"/>
          <w:u w:val="single"/>
        </w:rPr>
        <w:t xml:space="preserve"> </w:t>
      </w:r>
    </w:p>
    <w:p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El ente gestor cuenta con la herramienta del modelo financiero de la ETLF 2019, el cual es actual</w:t>
      </w:r>
      <w:r>
        <w:rPr>
          <w:rFonts w:ascii="Arial Narrow" w:eastAsia="Arial Narrow" w:hAnsi="Arial Narrow" w:cs="Arial Narrow"/>
          <w:sz w:val="24"/>
          <w:szCs w:val="24"/>
        </w:rPr>
        <w:t>izado permanentemente, con personal contratista del área de operaciones, atendiendo los análisis, requerimientos de información técnica de las dependencias municipales interesadas e inquietudes manifestadas por transportadores. A partir de los ajustes es p</w:t>
      </w:r>
      <w:r>
        <w:rPr>
          <w:rFonts w:ascii="Arial Narrow" w:eastAsia="Arial Narrow" w:hAnsi="Arial Narrow" w:cs="Arial Narrow"/>
          <w:sz w:val="24"/>
          <w:szCs w:val="24"/>
        </w:rPr>
        <w:t>osible estimar y analizar el impacto de los cambios en las principales variables que lo componen. En especial, ha tenido en cuenta las condiciones técnicas definidas en el diseño Operativo actualizado en 2023, la flota total disponible en el TPC que se com</w:t>
      </w:r>
      <w:r>
        <w:rPr>
          <w:rFonts w:ascii="Arial Narrow" w:eastAsia="Arial Narrow" w:hAnsi="Arial Narrow" w:cs="Arial Narrow"/>
          <w:sz w:val="24"/>
          <w:szCs w:val="24"/>
        </w:rPr>
        <w:t xml:space="preserve">pone de 348 vehículos de 19 y 24 pasajeros. </w:t>
      </w:r>
    </w:p>
    <w:p w:rsidR="00FF1F16" w:rsidRDefault="00FF1F16">
      <w:pPr>
        <w:pBdr>
          <w:top w:val="nil"/>
          <w:left w:val="nil"/>
          <w:bottom w:val="nil"/>
          <w:right w:val="nil"/>
          <w:between w:val="nil"/>
        </w:pBdr>
        <w:jc w:val="both"/>
        <w:rPr>
          <w:rFonts w:ascii="Arial Narrow" w:eastAsia="Arial Narrow" w:hAnsi="Arial Narrow" w:cs="Arial Narrow"/>
          <w:sz w:val="24"/>
          <w:szCs w:val="24"/>
        </w:rPr>
      </w:pPr>
    </w:p>
    <w:p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Se actualizó la canasta de costos con base en la captura de datos de precios de referencia en la ciudad para los componentes de costo variable, excepto Mantenimiento correctivo. Se actualizaron, a corte 31 de m</w:t>
      </w:r>
      <w:r>
        <w:rPr>
          <w:rFonts w:ascii="Arial Narrow" w:eastAsia="Arial Narrow" w:hAnsi="Arial Narrow" w:cs="Arial Narrow"/>
          <w:sz w:val="24"/>
          <w:szCs w:val="24"/>
        </w:rPr>
        <w:t xml:space="preserve">arzo de 2026, las variables macroeconómicas de </w:t>
      </w:r>
      <w:proofErr w:type="gramStart"/>
      <w:r>
        <w:rPr>
          <w:rFonts w:ascii="Arial Narrow" w:eastAsia="Arial Narrow" w:hAnsi="Arial Narrow" w:cs="Arial Narrow"/>
          <w:sz w:val="24"/>
          <w:szCs w:val="24"/>
        </w:rPr>
        <w:t>proyección</w:t>
      </w:r>
      <w:proofErr w:type="gramEnd"/>
      <w:r>
        <w:rPr>
          <w:rFonts w:ascii="Arial Narrow" w:eastAsia="Arial Narrow" w:hAnsi="Arial Narrow" w:cs="Arial Narrow"/>
          <w:sz w:val="24"/>
          <w:szCs w:val="24"/>
        </w:rPr>
        <w:t xml:space="preserve"> así como los valores de referencia de los vehículos actuales y nuevos en las tipologías definidas para el SETP. Adicionalmente se incluyeron ajustes en la remuneración de conductores del SETP en lo </w:t>
      </w:r>
      <w:r>
        <w:rPr>
          <w:rFonts w:ascii="Arial Narrow" w:eastAsia="Arial Narrow" w:hAnsi="Arial Narrow" w:cs="Arial Narrow"/>
          <w:sz w:val="24"/>
          <w:szCs w:val="24"/>
        </w:rPr>
        <w:t xml:space="preserve">relacionado con los recargos nocturnos y dominicales en el marco de la Ley 2466 de 2025. Se ajustó la proyección de ingreso de flota teniendo en cuenta la dinámica de salida de vehículos que cumplen la vida </w:t>
      </w:r>
      <w:proofErr w:type="gramStart"/>
      <w:r>
        <w:rPr>
          <w:rFonts w:ascii="Arial Narrow" w:eastAsia="Arial Narrow" w:hAnsi="Arial Narrow" w:cs="Arial Narrow"/>
          <w:sz w:val="24"/>
          <w:szCs w:val="24"/>
        </w:rPr>
        <w:t>útil,  las</w:t>
      </w:r>
      <w:proofErr w:type="gramEnd"/>
      <w:r>
        <w:rPr>
          <w:rFonts w:ascii="Arial Narrow" w:eastAsia="Arial Narrow" w:hAnsi="Arial Narrow" w:cs="Arial Narrow"/>
          <w:sz w:val="24"/>
          <w:szCs w:val="24"/>
        </w:rPr>
        <w:t xml:space="preserve"> necesidades de flota definidas en el D</w:t>
      </w:r>
      <w:r>
        <w:rPr>
          <w:rFonts w:ascii="Arial Narrow" w:eastAsia="Arial Narrow" w:hAnsi="Arial Narrow" w:cs="Arial Narrow"/>
          <w:sz w:val="24"/>
          <w:szCs w:val="24"/>
        </w:rPr>
        <w:t>iseño Operacional y el cumplimiento de los porcentajes de flota de cero o bajas emisiones (30% de los vehículos que ingresan al SETP).</w:t>
      </w:r>
    </w:p>
    <w:p w:rsidR="00FF1F16" w:rsidRDefault="00FF1F16">
      <w:pPr>
        <w:pBdr>
          <w:top w:val="nil"/>
          <w:left w:val="nil"/>
          <w:bottom w:val="nil"/>
          <w:right w:val="nil"/>
          <w:between w:val="nil"/>
        </w:pBdr>
        <w:jc w:val="both"/>
        <w:rPr>
          <w:rFonts w:ascii="Arial Narrow" w:eastAsia="Arial Narrow" w:hAnsi="Arial Narrow" w:cs="Arial Narrow"/>
          <w:sz w:val="24"/>
          <w:szCs w:val="24"/>
        </w:rPr>
      </w:pPr>
    </w:p>
    <w:p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La reprogramación de recursos del convenio contempla la adquisición de una flota eléctrica de 24 o 36 pasajeros. Actualm</w:t>
      </w:r>
      <w:r>
        <w:rPr>
          <w:rFonts w:ascii="Arial Narrow" w:eastAsia="Arial Narrow" w:hAnsi="Arial Narrow" w:cs="Arial Narrow"/>
          <w:sz w:val="24"/>
          <w:szCs w:val="24"/>
        </w:rPr>
        <w:t>ente, el ajuste de la modelación financiera está sujeta a la validación de la canasta de costos de estos vehículos. Por lo tanto, se requiere del acompañamiento de un especialista o del apoyo del Gobierno Nacional para definir los componentes técnicos deta</w:t>
      </w:r>
      <w:r>
        <w:rPr>
          <w:rFonts w:ascii="Arial Narrow" w:eastAsia="Arial Narrow" w:hAnsi="Arial Narrow" w:cs="Arial Narrow"/>
          <w:sz w:val="24"/>
          <w:szCs w:val="24"/>
        </w:rPr>
        <w:t xml:space="preserve">llados y actualizar dicha canasta. </w:t>
      </w:r>
    </w:p>
    <w:p w:rsidR="00FF1F16" w:rsidRDefault="00FF1F16">
      <w:pPr>
        <w:jc w:val="both"/>
        <w:rPr>
          <w:rFonts w:ascii="Arial Narrow" w:eastAsia="Arial Narrow" w:hAnsi="Arial Narrow" w:cs="Arial Narrow"/>
          <w:sz w:val="24"/>
          <w:szCs w:val="24"/>
        </w:rPr>
      </w:pPr>
    </w:p>
    <w:p w:rsidR="00FF1F16" w:rsidRDefault="004A6500">
      <w:pPr>
        <w:jc w:val="both"/>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Resultados obtenidos:</w:t>
      </w:r>
    </w:p>
    <w:p w:rsidR="00FF1F16" w:rsidRDefault="00FF1F16">
      <w:pPr>
        <w:jc w:val="both"/>
        <w:rPr>
          <w:rFonts w:ascii="Arial Narrow" w:eastAsia="Arial Narrow" w:hAnsi="Arial Narrow" w:cs="Arial Narrow"/>
          <w:b/>
          <w:bCs/>
          <w:sz w:val="24"/>
          <w:szCs w:val="24"/>
          <w:u w:val="single"/>
        </w:rPr>
      </w:pPr>
    </w:p>
    <w:p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Bajo las condiciones de operación del SETP, las condiciones de demanda estimadas de 70.000 viajes/día, se estima un diferencial tarifario para 2026 de $ 3.282</w:t>
      </w:r>
      <w:r>
        <w:rPr>
          <w:rFonts w:ascii="Arial Narrow" w:eastAsia="Arial Narrow" w:hAnsi="Arial Narrow" w:cs="Arial Narrow"/>
          <w:sz w:val="24"/>
          <w:szCs w:val="24"/>
        </w:rPr>
        <w:t xml:space="preserve"> /pasajero (Tarifa Técnica estimada $ 6.282/pasajero Vs Tarifa Usuario $ 3.000 a partir del segundo semestre de 2026). Tomando como referencia las estimaciones de cierre de 2025, en las que la TT para 2026 estaba en $ 3.507por pasajero, la ampliación del d</w:t>
      </w:r>
      <w:r>
        <w:rPr>
          <w:rFonts w:ascii="Arial Narrow" w:eastAsia="Arial Narrow" w:hAnsi="Arial Narrow" w:cs="Arial Narrow"/>
          <w:sz w:val="24"/>
          <w:szCs w:val="24"/>
        </w:rPr>
        <w:t>iferencial tarifario estimado actualmente es impulsado por factores como el incremento del salario mínimo, que es la variable empleada para el dimensionamiento de costos personal de los operadores y SRC, el ajuste de la remuneración de los conductores (2,2</w:t>
      </w:r>
      <w:r>
        <w:rPr>
          <w:rFonts w:ascii="Arial Narrow" w:eastAsia="Arial Narrow" w:hAnsi="Arial Narrow" w:cs="Arial Narrow"/>
          <w:sz w:val="24"/>
          <w:szCs w:val="24"/>
        </w:rPr>
        <w:t xml:space="preserve"> conductores por vehículo) con el reconocimiento </w:t>
      </w:r>
      <w:r>
        <w:rPr>
          <w:rFonts w:ascii="Arial Narrow" w:eastAsia="Arial Narrow" w:hAnsi="Arial Narrow" w:cs="Arial Narrow"/>
          <w:sz w:val="24"/>
          <w:szCs w:val="24"/>
        </w:rPr>
        <w:lastRenderedPageBreak/>
        <w:t xml:space="preserve">de los recargos nocturnos y dominicales establecidos en la Ley 2466 de 2025 y una mayor disponibilidad de vehículos (348) frente a los requeridos en el DO para la fase 0 (333 incluyendo flota de reserva). </w:t>
      </w:r>
    </w:p>
    <w:p w:rsidR="00FF1F16" w:rsidRDefault="00FF1F16">
      <w:pPr>
        <w:jc w:val="both"/>
        <w:rPr>
          <w:rFonts w:ascii="Arial Narrow" w:eastAsia="Arial Narrow" w:hAnsi="Arial Narrow" w:cs="Arial Narrow"/>
          <w:sz w:val="24"/>
          <w:szCs w:val="24"/>
        </w:rPr>
      </w:pPr>
    </w:p>
    <w:p w:rsidR="00FF1F16" w:rsidRDefault="004A6500">
      <w:pPr>
        <w:jc w:val="both"/>
        <w:rPr>
          <w:rFonts w:ascii="Arial Narrow" w:eastAsia="Arial Narrow" w:hAnsi="Arial Narrow" w:cs="Arial Narrow"/>
        </w:rPr>
      </w:pPr>
      <w:r>
        <w:rPr>
          <w:rFonts w:ascii="Arial Narrow" w:eastAsia="Arial Narrow" w:hAnsi="Arial Narrow" w:cs="Arial Narrow"/>
          <w:noProof/>
        </w:rPr>
        <w:drawing>
          <wp:inline distT="114300" distB="114300" distL="114300" distR="114300">
            <wp:extent cx="5882005" cy="2908300"/>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a:stretch>
                      <a:fillRect/>
                    </a:stretch>
                  </pic:blipFill>
                  <pic:spPr>
                    <a:xfrm>
                      <a:off x="0" y="0"/>
                      <a:ext cx="5882005" cy="2908300"/>
                    </a:xfrm>
                    <a:prstGeom prst="rect">
                      <a:avLst/>
                    </a:prstGeom>
                    <a:ln/>
                  </pic:spPr>
                </pic:pic>
              </a:graphicData>
            </a:graphic>
          </wp:inline>
        </w:drawing>
      </w:r>
    </w:p>
    <w:p w:rsidR="00FF1F16" w:rsidRDefault="004A6500">
      <w:pPr>
        <w:spacing w:line="240" w:lineRule="auto"/>
        <w:jc w:val="both"/>
        <w:rPr>
          <w:rFonts w:ascii="Arial Narrow" w:eastAsia="Arial Narrow" w:hAnsi="Arial Narrow" w:cs="Arial Narrow"/>
        </w:rPr>
      </w:pPr>
      <w:r>
        <w:rPr>
          <w:rFonts w:ascii="Arial Narrow" w:eastAsia="Arial Narrow" w:hAnsi="Arial Narrow" w:cs="Arial Narrow"/>
          <w:b/>
          <w:bCs/>
        </w:rPr>
        <w:t>Fuente:</w:t>
      </w:r>
      <w:r>
        <w:rPr>
          <w:rFonts w:ascii="Arial Narrow" w:eastAsia="Arial Narrow" w:hAnsi="Arial Narrow" w:cs="Arial Narrow"/>
        </w:rPr>
        <w:t xml:space="preserve"> elaboración propia con base en Modelación financiera mayo 2026</w:t>
      </w:r>
    </w:p>
    <w:p w:rsidR="00FF1F16" w:rsidRDefault="00FF1F16">
      <w:pPr>
        <w:jc w:val="both"/>
        <w:rPr>
          <w:rFonts w:ascii="Arial Narrow" w:eastAsia="Arial Narrow" w:hAnsi="Arial Narrow" w:cs="Arial Narrow"/>
        </w:rPr>
      </w:pPr>
    </w:p>
    <w:p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La modelación permite analizar el comportamiento de la tarifa técnica frente a la variación de la demanda y el efecto sobre el diferencial tarifario del Sistema como se resume en la siguiente tabla:</w:t>
      </w:r>
    </w:p>
    <w:p w:rsidR="00FF1F16" w:rsidRDefault="00FF1F16">
      <w:pPr>
        <w:jc w:val="both"/>
        <w:rPr>
          <w:rFonts w:ascii="Arial Narrow" w:eastAsia="Arial Narrow" w:hAnsi="Arial Narrow" w:cs="Arial Narrow"/>
        </w:rPr>
      </w:pPr>
    </w:p>
    <w:tbl>
      <w:tblPr>
        <w:tblStyle w:val="a9"/>
        <w:tblW w:w="88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103"/>
        <w:gridCol w:w="1102"/>
        <w:gridCol w:w="1140"/>
        <w:gridCol w:w="885"/>
        <w:gridCol w:w="1290"/>
        <w:gridCol w:w="1170"/>
        <w:gridCol w:w="825"/>
        <w:gridCol w:w="1320"/>
      </w:tblGrid>
      <w:tr w:rsidR="00FF1F16">
        <w:trPr>
          <w:trHeight w:val="360"/>
        </w:trPr>
        <w:tc>
          <w:tcPr>
            <w:tcW w:w="2204" w:type="dxa"/>
            <w:gridSpan w:val="2"/>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b/>
                <w:bCs/>
                <w:sz w:val="20"/>
                <w:szCs w:val="20"/>
              </w:rPr>
            </w:pPr>
            <w:r>
              <w:rPr>
                <w:rFonts w:ascii="Arial Narrow" w:eastAsia="Arial Narrow" w:hAnsi="Arial Narrow" w:cs="Arial Narrow"/>
                <w:b/>
                <w:bCs/>
                <w:sz w:val="20"/>
                <w:szCs w:val="20"/>
              </w:rPr>
              <w:t>Demanda del Sistema</w:t>
            </w:r>
          </w:p>
        </w:tc>
        <w:tc>
          <w:tcPr>
            <w:tcW w:w="1140" w:type="dxa"/>
            <w:vMerge w:val="restart"/>
            <w:tcBorders>
              <w:top w:val="single" w:sz="5" w:space="0" w:color="000000"/>
              <w:left w:val="nil"/>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b/>
                <w:bCs/>
                <w:sz w:val="20"/>
                <w:szCs w:val="20"/>
              </w:rPr>
            </w:pPr>
            <w:r>
              <w:rPr>
                <w:rFonts w:ascii="Arial Narrow" w:eastAsia="Arial Narrow" w:hAnsi="Arial Narrow" w:cs="Arial Narrow"/>
                <w:b/>
                <w:bCs/>
                <w:sz w:val="20"/>
                <w:szCs w:val="20"/>
              </w:rPr>
              <w:t>Recorrido Km/año</w:t>
            </w:r>
          </w:p>
        </w:tc>
        <w:tc>
          <w:tcPr>
            <w:tcW w:w="885" w:type="dxa"/>
            <w:vMerge w:val="restart"/>
            <w:tcBorders>
              <w:top w:val="single" w:sz="5" w:space="0" w:color="000000"/>
              <w:left w:val="nil"/>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b/>
                <w:bCs/>
                <w:sz w:val="20"/>
                <w:szCs w:val="20"/>
              </w:rPr>
            </w:pPr>
            <w:r>
              <w:rPr>
                <w:rFonts w:ascii="Arial Narrow" w:eastAsia="Arial Narrow" w:hAnsi="Arial Narrow" w:cs="Arial Narrow"/>
                <w:b/>
                <w:bCs/>
                <w:sz w:val="20"/>
                <w:szCs w:val="20"/>
              </w:rPr>
              <w:t>IPK del Sistema/año</w:t>
            </w:r>
          </w:p>
        </w:tc>
        <w:tc>
          <w:tcPr>
            <w:tcW w:w="1290" w:type="dxa"/>
            <w:vMerge w:val="restart"/>
            <w:tcBorders>
              <w:top w:val="single" w:sz="5" w:space="0" w:color="000000"/>
              <w:left w:val="nil"/>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b/>
                <w:bCs/>
                <w:sz w:val="20"/>
                <w:szCs w:val="20"/>
              </w:rPr>
            </w:pPr>
            <w:r>
              <w:rPr>
                <w:rFonts w:ascii="Arial Narrow" w:eastAsia="Arial Narrow" w:hAnsi="Arial Narrow" w:cs="Arial Narrow"/>
                <w:b/>
                <w:bCs/>
                <w:sz w:val="20"/>
                <w:szCs w:val="20"/>
              </w:rPr>
              <w:t>Tarifa Usuario</w:t>
            </w:r>
          </w:p>
        </w:tc>
        <w:tc>
          <w:tcPr>
            <w:tcW w:w="1170" w:type="dxa"/>
            <w:vMerge w:val="restart"/>
            <w:tcBorders>
              <w:top w:val="single" w:sz="5" w:space="0" w:color="000000"/>
              <w:left w:val="nil"/>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b/>
                <w:bCs/>
                <w:sz w:val="20"/>
                <w:szCs w:val="20"/>
              </w:rPr>
            </w:pPr>
            <w:r>
              <w:rPr>
                <w:rFonts w:ascii="Arial Narrow" w:eastAsia="Arial Narrow" w:hAnsi="Arial Narrow" w:cs="Arial Narrow"/>
                <w:b/>
                <w:bCs/>
                <w:sz w:val="20"/>
                <w:szCs w:val="20"/>
              </w:rPr>
              <w:t>Tarifa Técnica</w:t>
            </w:r>
          </w:p>
        </w:tc>
        <w:tc>
          <w:tcPr>
            <w:tcW w:w="825" w:type="dxa"/>
            <w:vMerge w:val="restart"/>
            <w:tcBorders>
              <w:top w:val="single" w:sz="5" w:space="0" w:color="000000"/>
              <w:left w:val="nil"/>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b/>
                <w:bCs/>
                <w:sz w:val="20"/>
                <w:szCs w:val="20"/>
              </w:rPr>
            </w:pPr>
            <w:sdt>
              <w:sdtPr>
                <w:tag w:val="goog_rdk_0"/>
                <w:id w:val="-1840951533"/>
              </w:sdtPr>
              <w:sdtEndPr/>
              <w:sdtContent>
                <w:r>
                  <w:rPr>
                    <w:rFonts w:ascii="Arial Unicode MS" w:eastAsia="Arial Unicode MS" w:hAnsi="Arial Unicode MS" w:cs="Arial Unicode MS"/>
                    <w:b/>
                    <w:bCs/>
                    <w:sz w:val="20"/>
                    <w:szCs w:val="20"/>
                  </w:rPr>
                  <w:t>∆</w:t>
                </w:r>
                <w:r>
                  <w:rPr>
                    <w:rFonts w:ascii="Arial Unicode MS" w:eastAsia="Arial Unicode MS" w:hAnsi="Arial Unicode MS" w:cs="Arial Unicode MS"/>
                    <w:b/>
                    <w:bCs/>
                    <w:sz w:val="20"/>
                    <w:szCs w:val="20"/>
                  </w:rPr>
                  <w:t xml:space="preserve"> Tarifa Técnica</w:t>
                </w:r>
              </w:sdtContent>
            </w:sdt>
          </w:p>
        </w:tc>
        <w:tc>
          <w:tcPr>
            <w:tcW w:w="1320" w:type="dxa"/>
            <w:vMerge w:val="restart"/>
            <w:tcBorders>
              <w:top w:val="single" w:sz="5" w:space="0" w:color="000000"/>
              <w:left w:val="nil"/>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b/>
                <w:bCs/>
                <w:sz w:val="20"/>
                <w:szCs w:val="20"/>
              </w:rPr>
            </w:pPr>
            <w:r>
              <w:rPr>
                <w:rFonts w:ascii="Arial Narrow" w:eastAsia="Arial Narrow" w:hAnsi="Arial Narrow" w:cs="Arial Narrow"/>
                <w:b/>
                <w:bCs/>
                <w:sz w:val="20"/>
                <w:szCs w:val="20"/>
              </w:rPr>
              <w:t>Diferencial Tarifario</w:t>
            </w:r>
          </w:p>
        </w:tc>
      </w:tr>
      <w:tr w:rsidR="00FF1F16">
        <w:trPr>
          <w:trHeight w:val="360"/>
        </w:trPr>
        <w:tc>
          <w:tcPr>
            <w:tcW w:w="1102" w:type="dxa"/>
            <w:tcBorders>
              <w:top w:val="nil"/>
              <w:left w:val="single" w:sz="5" w:space="0" w:color="000000"/>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b/>
                <w:bCs/>
                <w:sz w:val="20"/>
                <w:szCs w:val="20"/>
              </w:rPr>
            </w:pPr>
            <w:r>
              <w:rPr>
                <w:rFonts w:ascii="Arial Narrow" w:eastAsia="Arial Narrow" w:hAnsi="Arial Narrow" w:cs="Arial Narrow"/>
                <w:b/>
                <w:bCs/>
                <w:sz w:val="20"/>
                <w:szCs w:val="20"/>
              </w:rPr>
              <w:t>Viajes/día</w:t>
            </w:r>
          </w:p>
        </w:tc>
        <w:tc>
          <w:tcPr>
            <w:tcW w:w="1102"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b/>
                <w:bCs/>
                <w:sz w:val="20"/>
                <w:szCs w:val="20"/>
              </w:rPr>
            </w:pPr>
            <w:r>
              <w:rPr>
                <w:rFonts w:ascii="Arial Narrow" w:eastAsia="Arial Narrow" w:hAnsi="Arial Narrow" w:cs="Arial Narrow"/>
                <w:b/>
                <w:bCs/>
                <w:sz w:val="20"/>
                <w:szCs w:val="20"/>
              </w:rPr>
              <w:t>Viajes/año</w:t>
            </w:r>
          </w:p>
        </w:tc>
        <w:tc>
          <w:tcPr>
            <w:tcW w:w="1140" w:type="dxa"/>
            <w:vMerge/>
            <w:tcBorders>
              <w:top w:val="single" w:sz="5" w:space="0" w:color="000000"/>
              <w:left w:val="nil"/>
              <w:bottom w:val="single" w:sz="5" w:space="0" w:color="000000"/>
              <w:right w:val="single" w:sz="5" w:space="0" w:color="000000"/>
            </w:tcBorders>
            <w:shd w:val="clear" w:color="auto" w:fill="auto"/>
            <w:tcMar>
              <w:top w:w="100" w:type="dxa"/>
              <w:left w:w="100" w:type="dxa"/>
              <w:bottom w:w="100" w:type="dxa"/>
              <w:right w:w="100" w:type="dxa"/>
            </w:tcMar>
          </w:tcPr>
          <w:p w:rsidR="00FF1F16" w:rsidRDefault="00FF1F16">
            <w:pPr>
              <w:jc w:val="both"/>
              <w:rPr>
                <w:rFonts w:ascii="Arial Narrow" w:eastAsia="Arial Narrow" w:hAnsi="Arial Narrow" w:cs="Arial Narrow"/>
              </w:rPr>
            </w:pPr>
          </w:p>
        </w:tc>
        <w:tc>
          <w:tcPr>
            <w:tcW w:w="885" w:type="dxa"/>
            <w:vMerge/>
            <w:tcBorders>
              <w:top w:val="single" w:sz="5" w:space="0" w:color="000000"/>
              <w:left w:val="nil"/>
              <w:bottom w:val="single" w:sz="5" w:space="0" w:color="000000"/>
              <w:right w:val="single" w:sz="5" w:space="0" w:color="000000"/>
            </w:tcBorders>
            <w:shd w:val="clear" w:color="auto" w:fill="auto"/>
            <w:tcMar>
              <w:top w:w="100" w:type="dxa"/>
              <w:left w:w="100" w:type="dxa"/>
              <w:bottom w:w="100" w:type="dxa"/>
              <w:right w:w="100" w:type="dxa"/>
            </w:tcMar>
          </w:tcPr>
          <w:p w:rsidR="00FF1F16" w:rsidRDefault="00FF1F16">
            <w:pPr>
              <w:jc w:val="both"/>
              <w:rPr>
                <w:rFonts w:ascii="Arial Narrow" w:eastAsia="Arial Narrow" w:hAnsi="Arial Narrow" w:cs="Arial Narrow"/>
              </w:rPr>
            </w:pPr>
          </w:p>
        </w:tc>
        <w:tc>
          <w:tcPr>
            <w:tcW w:w="1290" w:type="dxa"/>
            <w:vMerge/>
            <w:tcBorders>
              <w:top w:val="single" w:sz="5" w:space="0" w:color="000000"/>
              <w:left w:val="nil"/>
              <w:bottom w:val="single" w:sz="5" w:space="0" w:color="000000"/>
              <w:right w:val="single" w:sz="5" w:space="0" w:color="000000"/>
            </w:tcBorders>
            <w:shd w:val="clear" w:color="auto" w:fill="auto"/>
            <w:tcMar>
              <w:top w:w="100" w:type="dxa"/>
              <w:left w:w="100" w:type="dxa"/>
              <w:bottom w:w="100" w:type="dxa"/>
              <w:right w:w="100" w:type="dxa"/>
            </w:tcMar>
          </w:tcPr>
          <w:p w:rsidR="00FF1F16" w:rsidRDefault="00FF1F16">
            <w:pPr>
              <w:jc w:val="both"/>
              <w:rPr>
                <w:rFonts w:ascii="Arial Narrow" w:eastAsia="Arial Narrow" w:hAnsi="Arial Narrow" w:cs="Arial Narrow"/>
              </w:rPr>
            </w:pPr>
          </w:p>
        </w:tc>
        <w:tc>
          <w:tcPr>
            <w:tcW w:w="1170" w:type="dxa"/>
            <w:vMerge/>
            <w:tcBorders>
              <w:top w:val="single" w:sz="5" w:space="0" w:color="000000"/>
              <w:left w:val="nil"/>
              <w:bottom w:val="single" w:sz="5" w:space="0" w:color="000000"/>
              <w:right w:val="single" w:sz="5" w:space="0" w:color="000000"/>
            </w:tcBorders>
            <w:shd w:val="clear" w:color="auto" w:fill="auto"/>
            <w:tcMar>
              <w:top w:w="100" w:type="dxa"/>
              <w:left w:w="100" w:type="dxa"/>
              <w:bottom w:w="100" w:type="dxa"/>
              <w:right w:w="100" w:type="dxa"/>
            </w:tcMar>
          </w:tcPr>
          <w:p w:rsidR="00FF1F16" w:rsidRDefault="00FF1F16">
            <w:pPr>
              <w:jc w:val="both"/>
              <w:rPr>
                <w:rFonts w:ascii="Arial Narrow" w:eastAsia="Arial Narrow" w:hAnsi="Arial Narrow" w:cs="Arial Narrow"/>
              </w:rPr>
            </w:pPr>
          </w:p>
        </w:tc>
        <w:tc>
          <w:tcPr>
            <w:tcW w:w="825" w:type="dxa"/>
            <w:vMerge/>
            <w:tcBorders>
              <w:top w:val="single" w:sz="5" w:space="0" w:color="000000"/>
              <w:left w:val="nil"/>
              <w:bottom w:val="single" w:sz="5" w:space="0" w:color="000000"/>
              <w:right w:val="single" w:sz="5" w:space="0" w:color="000000"/>
            </w:tcBorders>
            <w:shd w:val="clear" w:color="auto" w:fill="auto"/>
            <w:tcMar>
              <w:top w:w="100" w:type="dxa"/>
              <w:left w:w="100" w:type="dxa"/>
              <w:bottom w:w="100" w:type="dxa"/>
              <w:right w:w="100" w:type="dxa"/>
            </w:tcMar>
          </w:tcPr>
          <w:p w:rsidR="00FF1F16" w:rsidRDefault="00FF1F16">
            <w:pPr>
              <w:jc w:val="both"/>
              <w:rPr>
                <w:rFonts w:ascii="Arial Narrow" w:eastAsia="Arial Narrow" w:hAnsi="Arial Narrow" w:cs="Arial Narrow"/>
              </w:rPr>
            </w:pPr>
          </w:p>
        </w:tc>
        <w:tc>
          <w:tcPr>
            <w:tcW w:w="1320" w:type="dxa"/>
            <w:vMerge/>
            <w:tcBorders>
              <w:top w:val="single" w:sz="5" w:space="0" w:color="000000"/>
              <w:left w:val="nil"/>
              <w:bottom w:val="single" w:sz="5" w:space="0" w:color="000000"/>
              <w:right w:val="single" w:sz="5" w:space="0" w:color="000000"/>
            </w:tcBorders>
            <w:shd w:val="clear" w:color="auto" w:fill="auto"/>
            <w:tcMar>
              <w:top w:w="100" w:type="dxa"/>
              <w:left w:w="100" w:type="dxa"/>
              <w:bottom w:w="100" w:type="dxa"/>
              <w:right w:w="100" w:type="dxa"/>
            </w:tcMar>
          </w:tcPr>
          <w:p w:rsidR="00FF1F16" w:rsidRDefault="00FF1F16">
            <w:pPr>
              <w:jc w:val="both"/>
              <w:rPr>
                <w:rFonts w:ascii="Arial Narrow" w:eastAsia="Arial Narrow" w:hAnsi="Arial Narrow" w:cs="Arial Narrow"/>
              </w:rPr>
            </w:pPr>
          </w:p>
        </w:tc>
      </w:tr>
      <w:tr w:rsidR="00FF1F16">
        <w:trPr>
          <w:trHeight w:val="495"/>
        </w:trPr>
        <w:tc>
          <w:tcPr>
            <w:tcW w:w="1102" w:type="dxa"/>
            <w:tcBorders>
              <w:top w:val="nil"/>
              <w:left w:val="single" w:sz="5" w:space="0" w:color="000000"/>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50.000</w:t>
            </w:r>
          </w:p>
        </w:tc>
        <w:tc>
          <w:tcPr>
            <w:tcW w:w="1102"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14.400.000</w:t>
            </w:r>
          </w:p>
        </w:tc>
        <w:tc>
          <w:tcPr>
            <w:tcW w:w="114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19.537.373</w:t>
            </w:r>
          </w:p>
        </w:tc>
        <w:tc>
          <w:tcPr>
            <w:tcW w:w="885"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0,74</w:t>
            </w:r>
          </w:p>
        </w:tc>
        <w:tc>
          <w:tcPr>
            <w:tcW w:w="129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bottom"/>
          </w:tcPr>
          <w:p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$ 3.000,00</w:t>
            </w:r>
          </w:p>
        </w:tc>
        <w:tc>
          <w:tcPr>
            <w:tcW w:w="117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bottom"/>
          </w:tcPr>
          <w:p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$ 8.770,41</w:t>
            </w:r>
          </w:p>
        </w:tc>
        <w:tc>
          <w:tcPr>
            <w:tcW w:w="825"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40%</w:t>
            </w:r>
          </w:p>
        </w:tc>
        <w:tc>
          <w:tcPr>
            <w:tcW w:w="132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bottom"/>
          </w:tcPr>
          <w:p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$ 5.770,41</w:t>
            </w:r>
          </w:p>
        </w:tc>
      </w:tr>
      <w:tr w:rsidR="00FF1F16">
        <w:trPr>
          <w:trHeight w:val="495"/>
        </w:trPr>
        <w:tc>
          <w:tcPr>
            <w:tcW w:w="1102" w:type="dxa"/>
            <w:tcBorders>
              <w:top w:val="nil"/>
              <w:left w:val="single" w:sz="5" w:space="0" w:color="000000"/>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60.000</w:t>
            </w:r>
          </w:p>
        </w:tc>
        <w:tc>
          <w:tcPr>
            <w:tcW w:w="1102"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17.280.000</w:t>
            </w:r>
          </w:p>
        </w:tc>
        <w:tc>
          <w:tcPr>
            <w:tcW w:w="114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19.537.373</w:t>
            </w:r>
          </w:p>
        </w:tc>
        <w:tc>
          <w:tcPr>
            <w:tcW w:w="885"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0,88</w:t>
            </w:r>
          </w:p>
        </w:tc>
        <w:tc>
          <w:tcPr>
            <w:tcW w:w="129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bottom"/>
          </w:tcPr>
          <w:p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$ 3.000,00</w:t>
            </w:r>
          </w:p>
        </w:tc>
        <w:tc>
          <w:tcPr>
            <w:tcW w:w="117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bottom"/>
          </w:tcPr>
          <w:p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$ 7.318,84</w:t>
            </w:r>
          </w:p>
        </w:tc>
        <w:tc>
          <w:tcPr>
            <w:tcW w:w="825"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17%</w:t>
            </w:r>
          </w:p>
        </w:tc>
        <w:tc>
          <w:tcPr>
            <w:tcW w:w="132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bottom"/>
          </w:tcPr>
          <w:p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$ 4.318,84</w:t>
            </w:r>
          </w:p>
        </w:tc>
      </w:tr>
      <w:tr w:rsidR="00FF1F16">
        <w:trPr>
          <w:trHeight w:val="495"/>
        </w:trPr>
        <w:tc>
          <w:tcPr>
            <w:tcW w:w="1102" w:type="dxa"/>
            <w:tcBorders>
              <w:top w:val="nil"/>
              <w:left w:val="single" w:sz="5" w:space="0" w:color="000000"/>
              <w:bottom w:val="single" w:sz="5" w:space="0" w:color="000000"/>
              <w:right w:val="single" w:sz="5" w:space="0" w:color="000000"/>
            </w:tcBorders>
            <w:shd w:val="clear" w:color="auto" w:fill="F2F2F2"/>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b/>
                <w:bCs/>
                <w:sz w:val="20"/>
                <w:szCs w:val="20"/>
              </w:rPr>
            </w:pPr>
            <w:r>
              <w:rPr>
                <w:rFonts w:ascii="Arial Narrow" w:eastAsia="Arial Narrow" w:hAnsi="Arial Narrow" w:cs="Arial Narrow"/>
                <w:b/>
                <w:bCs/>
                <w:sz w:val="20"/>
                <w:szCs w:val="20"/>
              </w:rPr>
              <w:t>70.000</w:t>
            </w:r>
          </w:p>
        </w:tc>
        <w:tc>
          <w:tcPr>
            <w:tcW w:w="1102" w:type="dxa"/>
            <w:tcBorders>
              <w:top w:val="nil"/>
              <w:left w:val="nil"/>
              <w:bottom w:val="single" w:sz="5" w:space="0" w:color="000000"/>
              <w:right w:val="single" w:sz="5" w:space="0" w:color="000000"/>
            </w:tcBorders>
            <w:shd w:val="clear" w:color="auto" w:fill="F2F2F2"/>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b/>
                <w:bCs/>
                <w:sz w:val="20"/>
                <w:szCs w:val="20"/>
              </w:rPr>
            </w:pPr>
            <w:r>
              <w:rPr>
                <w:rFonts w:ascii="Arial Narrow" w:eastAsia="Arial Narrow" w:hAnsi="Arial Narrow" w:cs="Arial Narrow"/>
                <w:b/>
                <w:bCs/>
                <w:sz w:val="20"/>
                <w:szCs w:val="20"/>
              </w:rPr>
              <w:t>20.160.000</w:t>
            </w:r>
          </w:p>
        </w:tc>
        <w:tc>
          <w:tcPr>
            <w:tcW w:w="1140" w:type="dxa"/>
            <w:tcBorders>
              <w:top w:val="nil"/>
              <w:left w:val="nil"/>
              <w:bottom w:val="single" w:sz="5" w:space="0" w:color="000000"/>
              <w:right w:val="single" w:sz="5" w:space="0" w:color="000000"/>
            </w:tcBorders>
            <w:shd w:val="clear" w:color="auto" w:fill="F2F2F2"/>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b/>
                <w:bCs/>
                <w:sz w:val="20"/>
                <w:szCs w:val="20"/>
              </w:rPr>
            </w:pPr>
            <w:r>
              <w:rPr>
                <w:rFonts w:ascii="Arial Narrow" w:eastAsia="Arial Narrow" w:hAnsi="Arial Narrow" w:cs="Arial Narrow"/>
                <w:b/>
                <w:bCs/>
                <w:sz w:val="20"/>
                <w:szCs w:val="20"/>
              </w:rPr>
              <w:t>19.537.373</w:t>
            </w:r>
          </w:p>
        </w:tc>
        <w:tc>
          <w:tcPr>
            <w:tcW w:w="885" w:type="dxa"/>
            <w:tcBorders>
              <w:top w:val="nil"/>
              <w:left w:val="nil"/>
              <w:bottom w:val="single" w:sz="5" w:space="0" w:color="000000"/>
              <w:right w:val="single" w:sz="5" w:space="0" w:color="000000"/>
            </w:tcBorders>
            <w:shd w:val="clear" w:color="auto" w:fill="F2F2F2"/>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b/>
                <w:bCs/>
                <w:sz w:val="20"/>
                <w:szCs w:val="20"/>
              </w:rPr>
            </w:pPr>
            <w:r>
              <w:rPr>
                <w:rFonts w:ascii="Arial Narrow" w:eastAsia="Arial Narrow" w:hAnsi="Arial Narrow" w:cs="Arial Narrow"/>
                <w:b/>
                <w:bCs/>
                <w:sz w:val="20"/>
                <w:szCs w:val="20"/>
              </w:rPr>
              <w:t>1,03</w:t>
            </w:r>
          </w:p>
        </w:tc>
        <w:tc>
          <w:tcPr>
            <w:tcW w:w="1290" w:type="dxa"/>
            <w:tcBorders>
              <w:top w:val="nil"/>
              <w:left w:val="nil"/>
              <w:bottom w:val="single" w:sz="5" w:space="0" w:color="000000"/>
              <w:right w:val="single" w:sz="5" w:space="0" w:color="000000"/>
            </w:tcBorders>
            <w:shd w:val="clear" w:color="auto" w:fill="F2F2F2"/>
            <w:tcMar>
              <w:top w:w="0" w:type="dxa"/>
              <w:left w:w="100" w:type="dxa"/>
              <w:bottom w:w="0" w:type="dxa"/>
              <w:right w:w="100" w:type="dxa"/>
            </w:tcMar>
            <w:vAlign w:val="bottom"/>
          </w:tcPr>
          <w:p w:rsidR="00FF1F16" w:rsidRDefault="004A6500">
            <w:pPr>
              <w:pBdr>
                <w:top w:val="nil"/>
                <w:left w:val="nil"/>
                <w:bottom w:val="nil"/>
                <w:right w:val="nil"/>
                <w:between w:val="nil"/>
              </w:pBdr>
              <w:spacing w:line="240" w:lineRule="auto"/>
              <w:jc w:val="center"/>
              <w:rPr>
                <w:rFonts w:ascii="Arial Narrow" w:eastAsia="Arial Narrow" w:hAnsi="Arial Narrow" w:cs="Arial Narrow"/>
                <w:b/>
                <w:bCs/>
                <w:sz w:val="20"/>
                <w:szCs w:val="20"/>
              </w:rPr>
            </w:pPr>
            <w:proofErr w:type="gramStart"/>
            <w:r>
              <w:rPr>
                <w:rFonts w:ascii="Arial Narrow" w:eastAsia="Arial Narrow" w:hAnsi="Arial Narrow" w:cs="Arial Narrow"/>
                <w:b/>
                <w:bCs/>
                <w:sz w:val="20"/>
                <w:szCs w:val="20"/>
              </w:rPr>
              <w:t>$  3.000</w:t>
            </w:r>
            <w:proofErr w:type="gramEnd"/>
            <w:r>
              <w:rPr>
                <w:rFonts w:ascii="Arial Narrow" w:eastAsia="Arial Narrow" w:hAnsi="Arial Narrow" w:cs="Arial Narrow"/>
                <w:b/>
                <w:bCs/>
                <w:sz w:val="20"/>
                <w:szCs w:val="20"/>
              </w:rPr>
              <w:t>,00</w:t>
            </w:r>
          </w:p>
        </w:tc>
        <w:tc>
          <w:tcPr>
            <w:tcW w:w="1170" w:type="dxa"/>
            <w:tcBorders>
              <w:top w:val="nil"/>
              <w:left w:val="nil"/>
              <w:bottom w:val="single" w:sz="5" w:space="0" w:color="000000"/>
              <w:right w:val="single" w:sz="5" w:space="0" w:color="000000"/>
            </w:tcBorders>
            <w:shd w:val="clear" w:color="auto" w:fill="F2F2F2"/>
            <w:tcMar>
              <w:top w:w="0" w:type="dxa"/>
              <w:left w:w="100" w:type="dxa"/>
              <w:bottom w:w="0" w:type="dxa"/>
              <w:right w:w="100" w:type="dxa"/>
            </w:tcMar>
            <w:vAlign w:val="bottom"/>
          </w:tcPr>
          <w:p w:rsidR="00FF1F16" w:rsidRDefault="004A6500">
            <w:pPr>
              <w:pBdr>
                <w:top w:val="nil"/>
                <w:left w:val="nil"/>
                <w:bottom w:val="nil"/>
                <w:right w:val="nil"/>
                <w:between w:val="nil"/>
              </w:pBdr>
              <w:spacing w:line="240" w:lineRule="auto"/>
              <w:jc w:val="center"/>
              <w:rPr>
                <w:rFonts w:ascii="Arial Narrow" w:eastAsia="Arial Narrow" w:hAnsi="Arial Narrow" w:cs="Arial Narrow"/>
                <w:b/>
                <w:bCs/>
                <w:sz w:val="20"/>
                <w:szCs w:val="20"/>
              </w:rPr>
            </w:pPr>
            <w:r>
              <w:rPr>
                <w:rFonts w:ascii="Arial Narrow" w:eastAsia="Arial Narrow" w:hAnsi="Arial Narrow" w:cs="Arial Narrow"/>
                <w:b/>
                <w:bCs/>
                <w:sz w:val="20"/>
                <w:szCs w:val="20"/>
              </w:rPr>
              <w:t>$ 6.282,00</w:t>
            </w:r>
          </w:p>
        </w:tc>
        <w:tc>
          <w:tcPr>
            <w:tcW w:w="825" w:type="dxa"/>
            <w:tcBorders>
              <w:top w:val="nil"/>
              <w:left w:val="nil"/>
              <w:bottom w:val="single" w:sz="5" w:space="0" w:color="000000"/>
              <w:right w:val="single" w:sz="5" w:space="0" w:color="000000"/>
            </w:tcBorders>
            <w:shd w:val="clear" w:color="auto" w:fill="F2F2F2"/>
            <w:tcMar>
              <w:top w:w="0" w:type="dxa"/>
              <w:left w:w="100" w:type="dxa"/>
              <w:bottom w:w="0" w:type="dxa"/>
              <w:right w:w="100" w:type="dxa"/>
            </w:tcMar>
          </w:tcPr>
          <w:p w:rsidR="00FF1F16" w:rsidRDefault="004A6500">
            <w:pPr>
              <w:pBdr>
                <w:top w:val="nil"/>
                <w:left w:val="nil"/>
                <w:bottom w:val="nil"/>
                <w:right w:val="nil"/>
                <w:between w:val="nil"/>
              </w:pBdr>
              <w:spacing w:line="240" w:lineRule="auto"/>
              <w:jc w:val="center"/>
              <w:rPr>
                <w:rFonts w:ascii="Arial Narrow" w:eastAsia="Arial Narrow" w:hAnsi="Arial Narrow" w:cs="Arial Narrow"/>
                <w:b/>
                <w:bCs/>
                <w:sz w:val="20"/>
                <w:szCs w:val="20"/>
              </w:rPr>
            </w:pPr>
            <w:r>
              <w:rPr>
                <w:rFonts w:ascii="Arial Narrow" w:eastAsia="Arial Narrow" w:hAnsi="Arial Narrow" w:cs="Arial Narrow"/>
                <w:b/>
                <w:bCs/>
                <w:sz w:val="20"/>
                <w:szCs w:val="20"/>
              </w:rPr>
              <w:t>0%</w:t>
            </w:r>
          </w:p>
        </w:tc>
        <w:tc>
          <w:tcPr>
            <w:tcW w:w="1320" w:type="dxa"/>
            <w:tcBorders>
              <w:top w:val="nil"/>
              <w:left w:val="nil"/>
              <w:bottom w:val="single" w:sz="5" w:space="0" w:color="000000"/>
              <w:right w:val="single" w:sz="5" w:space="0" w:color="000000"/>
            </w:tcBorders>
            <w:shd w:val="clear" w:color="auto" w:fill="F2F2F2"/>
            <w:tcMar>
              <w:top w:w="0" w:type="dxa"/>
              <w:left w:w="100" w:type="dxa"/>
              <w:bottom w:w="0" w:type="dxa"/>
              <w:right w:w="100" w:type="dxa"/>
            </w:tcMar>
            <w:vAlign w:val="bottom"/>
          </w:tcPr>
          <w:p w:rsidR="00FF1F16" w:rsidRDefault="004A6500">
            <w:pPr>
              <w:pBdr>
                <w:top w:val="nil"/>
                <w:left w:val="nil"/>
                <w:bottom w:val="nil"/>
                <w:right w:val="nil"/>
                <w:between w:val="nil"/>
              </w:pBdr>
              <w:spacing w:line="240" w:lineRule="auto"/>
              <w:jc w:val="center"/>
              <w:rPr>
                <w:rFonts w:ascii="Arial Narrow" w:eastAsia="Arial Narrow" w:hAnsi="Arial Narrow" w:cs="Arial Narrow"/>
                <w:b/>
                <w:bCs/>
                <w:sz w:val="20"/>
                <w:szCs w:val="20"/>
              </w:rPr>
            </w:pPr>
            <w:r>
              <w:rPr>
                <w:rFonts w:ascii="Arial Narrow" w:eastAsia="Arial Narrow" w:hAnsi="Arial Narrow" w:cs="Arial Narrow"/>
                <w:b/>
                <w:bCs/>
                <w:sz w:val="20"/>
                <w:szCs w:val="20"/>
              </w:rPr>
              <w:t>$ 3.282,00</w:t>
            </w:r>
          </w:p>
        </w:tc>
      </w:tr>
      <w:tr w:rsidR="00FF1F16">
        <w:trPr>
          <w:trHeight w:val="495"/>
        </w:trPr>
        <w:tc>
          <w:tcPr>
            <w:tcW w:w="1102" w:type="dxa"/>
            <w:tcBorders>
              <w:top w:val="nil"/>
              <w:left w:val="single" w:sz="5" w:space="0" w:color="000000"/>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80.000</w:t>
            </w:r>
          </w:p>
        </w:tc>
        <w:tc>
          <w:tcPr>
            <w:tcW w:w="1102"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23.040.000</w:t>
            </w:r>
          </w:p>
        </w:tc>
        <w:tc>
          <w:tcPr>
            <w:tcW w:w="114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19.537.373</w:t>
            </w:r>
          </w:p>
        </w:tc>
        <w:tc>
          <w:tcPr>
            <w:tcW w:w="885"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1,18</w:t>
            </w:r>
          </w:p>
        </w:tc>
        <w:tc>
          <w:tcPr>
            <w:tcW w:w="129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bottom"/>
          </w:tcPr>
          <w:p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$ 3.000,00</w:t>
            </w:r>
          </w:p>
        </w:tc>
        <w:tc>
          <w:tcPr>
            <w:tcW w:w="117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bottom"/>
          </w:tcPr>
          <w:p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$ 5.504,37</w:t>
            </w:r>
          </w:p>
        </w:tc>
        <w:tc>
          <w:tcPr>
            <w:tcW w:w="825"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-12%</w:t>
            </w:r>
          </w:p>
        </w:tc>
        <w:tc>
          <w:tcPr>
            <w:tcW w:w="132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bottom"/>
          </w:tcPr>
          <w:p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$ 2.504,37</w:t>
            </w:r>
          </w:p>
        </w:tc>
      </w:tr>
      <w:tr w:rsidR="00FF1F16">
        <w:trPr>
          <w:trHeight w:val="495"/>
        </w:trPr>
        <w:tc>
          <w:tcPr>
            <w:tcW w:w="1102" w:type="dxa"/>
            <w:tcBorders>
              <w:top w:val="nil"/>
              <w:left w:val="single" w:sz="5" w:space="0" w:color="000000"/>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90.000</w:t>
            </w:r>
          </w:p>
        </w:tc>
        <w:tc>
          <w:tcPr>
            <w:tcW w:w="1102"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25.920.000</w:t>
            </w:r>
          </w:p>
        </w:tc>
        <w:tc>
          <w:tcPr>
            <w:tcW w:w="114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19.537.373</w:t>
            </w:r>
          </w:p>
        </w:tc>
        <w:tc>
          <w:tcPr>
            <w:tcW w:w="885"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1,33</w:t>
            </w:r>
          </w:p>
        </w:tc>
        <w:tc>
          <w:tcPr>
            <w:tcW w:w="129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bottom"/>
          </w:tcPr>
          <w:p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$ 3.000,00</w:t>
            </w:r>
          </w:p>
        </w:tc>
        <w:tc>
          <w:tcPr>
            <w:tcW w:w="117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bottom"/>
          </w:tcPr>
          <w:p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$ 4.899,55</w:t>
            </w:r>
          </w:p>
        </w:tc>
        <w:tc>
          <w:tcPr>
            <w:tcW w:w="825"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-22%</w:t>
            </w:r>
          </w:p>
        </w:tc>
        <w:tc>
          <w:tcPr>
            <w:tcW w:w="132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bottom"/>
          </w:tcPr>
          <w:p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$ 1.899,55</w:t>
            </w:r>
          </w:p>
        </w:tc>
      </w:tr>
      <w:tr w:rsidR="00FF1F16">
        <w:trPr>
          <w:trHeight w:val="495"/>
        </w:trPr>
        <w:tc>
          <w:tcPr>
            <w:tcW w:w="1102" w:type="dxa"/>
            <w:tcBorders>
              <w:top w:val="nil"/>
              <w:left w:val="single" w:sz="5" w:space="0" w:color="000000"/>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100.000</w:t>
            </w:r>
          </w:p>
        </w:tc>
        <w:tc>
          <w:tcPr>
            <w:tcW w:w="1102"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28.800.000</w:t>
            </w:r>
          </w:p>
        </w:tc>
        <w:tc>
          <w:tcPr>
            <w:tcW w:w="114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19.537.373</w:t>
            </w:r>
          </w:p>
        </w:tc>
        <w:tc>
          <w:tcPr>
            <w:tcW w:w="885"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1,47</w:t>
            </w:r>
          </w:p>
        </w:tc>
        <w:tc>
          <w:tcPr>
            <w:tcW w:w="129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bottom"/>
          </w:tcPr>
          <w:p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$ 3.000,00</w:t>
            </w:r>
          </w:p>
        </w:tc>
        <w:tc>
          <w:tcPr>
            <w:tcW w:w="117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bottom"/>
          </w:tcPr>
          <w:p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$ 4.415,69</w:t>
            </w:r>
          </w:p>
        </w:tc>
        <w:tc>
          <w:tcPr>
            <w:tcW w:w="825"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-30%</w:t>
            </w:r>
          </w:p>
        </w:tc>
        <w:tc>
          <w:tcPr>
            <w:tcW w:w="1320"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vAlign w:val="bottom"/>
          </w:tcPr>
          <w:p w:rsidR="00FF1F16" w:rsidRDefault="004A6500">
            <w:pPr>
              <w:pBdr>
                <w:top w:val="nil"/>
                <w:left w:val="nil"/>
                <w:bottom w:val="nil"/>
                <w:right w:val="nil"/>
                <w:between w:val="nil"/>
              </w:pBdr>
              <w:spacing w:line="240" w:lineRule="auto"/>
              <w:jc w:val="center"/>
              <w:rPr>
                <w:rFonts w:ascii="Arial Narrow" w:eastAsia="Arial Narrow" w:hAnsi="Arial Narrow" w:cs="Arial Narrow"/>
                <w:sz w:val="20"/>
                <w:szCs w:val="20"/>
              </w:rPr>
            </w:pPr>
            <w:r>
              <w:rPr>
                <w:rFonts w:ascii="Arial Narrow" w:eastAsia="Arial Narrow" w:hAnsi="Arial Narrow" w:cs="Arial Narrow"/>
                <w:sz w:val="20"/>
                <w:szCs w:val="20"/>
              </w:rPr>
              <w:t>$ 1.415,69</w:t>
            </w:r>
          </w:p>
        </w:tc>
      </w:tr>
      <w:tr w:rsidR="00FF1F16">
        <w:trPr>
          <w:trHeight w:val="480"/>
        </w:trPr>
        <w:tc>
          <w:tcPr>
            <w:tcW w:w="8834" w:type="dxa"/>
            <w:gridSpan w:val="8"/>
            <w:tcBorders>
              <w:top w:val="nil"/>
              <w:left w:val="nil"/>
              <w:bottom w:val="nil"/>
              <w:right w:val="nil"/>
            </w:tcBorders>
            <w:shd w:val="clear" w:color="auto" w:fill="auto"/>
            <w:tcMar>
              <w:top w:w="0" w:type="dxa"/>
              <w:left w:w="100" w:type="dxa"/>
              <w:bottom w:w="0" w:type="dxa"/>
              <w:right w:w="100" w:type="dxa"/>
            </w:tcMar>
          </w:tcPr>
          <w:p w:rsidR="00FF1F16" w:rsidRDefault="004A6500">
            <w:pPr>
              <w:jc w:val="both"/>
              <w:rPr>
                <w:rFonts w:ascii="Arial Narrow" w:eastAsia="Arial Narrow" w:hAnsi="Arial Narrow" w:cs="Arial Narrow"/>
              </w:rPr>
            </w:pPr>
            <w:r>
              <w:rPr>
                <w:rFonts w:ascii="Arial Narrow" w:eastAsia="Arial Narrow" w:hAnsi="Arial Narrow" w:cs="Arial Narrow"/>
                <w:b/>
                <w:bCs/>
              </w:rPr>
              <w:t>Fuente:</w:t>
            </w:r>
            <w:r>
              <w:rPr>
                <w:rFonts w:ascii="Arial Narrow" w:eastAsia="Arial Narrow" w:hAnsi="Arial Narrow" w:cs="Arial Narrow"/>
              </w:rPr>
              <w:t xml:space="preserve"> Elaboración Propia con base en Modelación financiera mayo 2026</w:t>
            </w:r>
          </w:p>
        </w:tc>
      </w:tr>
    </w:tbl>
    <w:p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lastRenderedPageBreak/>
        <w:t xml:space="preserve">El diferencial tarifario proyectado para el SETP, en el horizonte de modelación (20 años), considerando el ajuste anual de tarifa al usuario de mínimo el 10% del valor vigente, presume </w:t>
      </w:r>
      <w:proofErr w:type="gramStart"/>
      <w:r>
        <w:rPr>
          <w:rFonts w:ascii="Arial Narrow" w:eastAsia="Arial Narrow" w:hAnsi="Arial Narrow" w:cs="Arial Narrow"/>
          <w:sz w:val="24"/>
          <w:szCs w:val="24"/>
        </w:rPr>
        <w:t>un  punto</w:t>
      </w:r>
      <w:proofErr w:type="gramEnd"/>
      <w:r>
        <w:rPr>
          <w:rFonts w:ascii="Arial Narrow" w:eastAsia="Arial Narrow" w:hAnsi="Arial Narrow" w:cs="Arial Narrow"/>
          <w:sz w:val="24"/>
          <w:szCs w:val="24"/>
        </w:rPr>
        <w:t xml:space="preserve"> de equilibrio tarifario entre el año 14 y 15 de operación com</w:t>
      </w:r>
      <w:r>
        <w:rPr>
          <w:rFonts w:ascii="Arial Narrow" w:eastAsia="Arial Narrow" w:hAnsi="Arial Narrow" w:cs="Arial Narrow"/>
          <w:sz w:val="24"/>
          <w:szCs w:val="24"/>
        </w:rPr>
        <w:t>o se ilustra en la gráfica que se presenta a continuación:</w:t>
      </w:r>
    </w:p>
    <w:p w:rsidR="00FF1F16" w:rsidRDefault="00FF1F16">
      <w:pPr>
        <w:jc w:val="both"/>
        <w:rPr>
          <w:rFonts w:ascii="Arial Narrow" w:eastAsia="Arial Narrow" w:hAnsi="Arial Narrow" w:cs="Arial Narrow"/>
        </w:rPr>
      </w:pPr>
    </w:p>
    <w:p w:rsidR="00FF1F16" w:rsidRDefault="004A6500">
      <w:pPr>
        <w:spacing w:line="240" w:lineRule="auto"/>
        <w:jc w:val="both"/>
        <w:rPr>
          <w:rFonts w:ascii="Arial Narrow" w:eastAsia="Arial Narrow" w:hAnsi="Arial Narrow" w:cs="Arial Narrow"/>
        </w:rPr>
      </w:pPr>
      <w:r>
        <w:rPr>
          <w:rFonts w:ascii="Arial Narrow" w:eastAsia="Arial Narrow" w:hAnsi="Arial Narrow" w:cs="Arial Narrow"/>
        </w:rPr>
        <w:t xml:space="preserve"> </w:t>
      </w:r>
      <w:r>
        <w:rPr>
          <w:rFonts w:ascii="Arial Narrow" w:eastAsia="Arial Narrow" w:hAnsi="Arial Narrow" w:cs="Arial Narrow"/>
          <w:noProof/>
        </w:rPr>
        <w:drawing>
          <wp:inline distT="114300" distB="114300" distL="114300" distR="114300">
            <wp:extent cx="5539422" cy="3702227"/>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5539422" cy="3702227"/>
                    </a:xfrm>
                    <a:prstGeom prst="rect">
                      <a:avLst/>
                    </a:prstGeom>
                    <a:ln/>
                  </pic:spPr>
                </pic:pic>
              </a:graphicData>
            </a:graphic>
          </wp:inline>
        </w:drawing>
      </w:r>
    </w:p>
    <w:p w:rsidR="00FF1F16" w:rsidRDefault="004A6500">
      <w:pPr>
        <w:spacing w:line="240" w:lineRule="auto"/>
        <w:jc w:val="both"/>
        <w:rPr>
          <w:rFonts w:ascii="Arial Narrow" w:eastAsia="Arial Narrow" w:hAnsi="Arial Narrow" w:cs="Arial Narrow"/>
        </w:rPr>
      </w:pPr>
      <w:r>
        <w:rPr>
          <w:rFonts w:ascii="Arial Narrow" w:eastAsia="Arial Narrow" w:hAnsi="Arial Narrow" w:cs="Arial Narrow"/>
          <w:b/>
          <w:bCs/>
        </w:rPr>
        <w:t>Fuente</w:t>
      </w:r>
      <w:r>
        <w:rPr>
          <w:rFonts w:ascii="Arial Narrow" w:eastAsia="Arial Narrow" w:hAnsi="Arial Narrow" w:cs="Arial Narrow"/>
        </w:rPr>
        <w:t>: elaboración propia a partir de modelación financiera mayo 2026</w:t>
      </w:r>
    </w:p>
    <w:p w:rsidR="00FF1F16" w:rsidRDefault="00FF1F16">
      <w:pPr>
        <w:jc w:val="both"/>
        <w:rPr>
          <w:rFonts w:ascii="Arial Narrow" w:eastAsia="Arial Narrow" w:hAnsi="Arial Narrow" w:cs="Arial Narrow"/>
        </w:rPr>
      </w:pPr>
    </w:p>
    <w:p w:rsidR="00FF1F16" w:rsidRDefault="00FF1F16">
      <w:pPr>
        <w:jc w:val="both"/>
        <w:rPr>
          <w:rFonts w:ascii="Arial Narrow" w:eastAsia="Arial Narrow" w:hAnsi="Arial Narrow" w:cs="Arial Narrow"/>
        </w:rPr>
      </w:pPr>
    </w:p>
    <w:p w:rsidR="00FF1F16" w:rsidRDefault="00FF1F16">
      <w:pPr>
        <w:jc w:val="both"/>
        <w:rPr>
          <w:rFonts w:ascii="Arial Narrow" w:eastAsia="Arial Narrow" w:hAnsi="Arial Narrow" w:cs="Arial Narrow"/>
        </w:rPr>
      </w:pPr>
    </w:p>
    <w:p w:rsidR="00FF1F16" w:rsidRDefault="00FF1F16">
      <w:pPr>
        <w:jc w:val="both"/>
        <w:rPr>
          <w:rFonts w:ascii="Arial Narrow" w:eastAsia="Arial Narrow" w:hAnsi="Arial Narrow" w:cs="Arial Narrow"/>
        </w:rPr>
      </w:pPr>
    </w:p>
    <w:p w:rsidR="00FF1F16" w:rsidRDefault="00FF1F16">
      <w:pPr>
        <w:jc w:val="both"/>
        <w:rPr>
          <w:rFonts w:ascii="Arial Narrow" w:eastAsia="Arial Narrow" w:hAnsi="Arial Narrow" w:cs="Arial Narrow"/>
        </w:rPr>
      </w:pPr>
    </w:p>
    <w:p w:rsidR="00FF1F16" w:rsidRDefault="00FF1F16">
      <w:pPr>
        <w:jc w:val="both"/>
        <w:rPr>
          <w:rFonts w:ascii="Arial Narrow" w:eastAsia="Arial Narrow" w:hAnsi="Arial Narrow" w:cs="Arial Narrow"/>
        </w:rPr>
      </w:pPr>
    </w:p>
    <w:p w:rsidR="00FF1F16" w:rsidRDefault="00FF1F16">
      <w:pPr>
        <w:jc w:val="both"/>
        <w:rPr>
          <w:rFonts w:ascii="Arial Narrow" w:eastAsia="Arial Narrow" w:hAnsi="Arial Narrow" w:cs="Arial Narrow"/>
        </w:rPr>
      </w:pPr>
    </w:p>
    <w:p w:rsidR="00FF1F16" w:rsidRDefault="004A6500">
      <w:pPr>
        <w:spacing w:before="240" w:after="240"/>
        <w:jc w:val="both"/>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Plan de trabajo para cada compromiso, con cronograma y actores implicados.</w:t>
      </w:r>
    </w:p>
    <w:p w:rsidR="00FF1F16" w:rsidRDefault="00FF1F16">
      <w:pPr>
        <w:spacing w:line="240" w:lineRule="auto"/>
        <w:jc w:val="both"/>
        <w:rPr>
          <w:rFonts w:ascii="Arial Narrow" w:eastAsia="Arial Narrow" w:hAnsi="Arial Narrow" w:cs="Arial Narrow"/>
          <w:b/>
          <w:bCs/>
          <w:sz w:val="24"/>
          <w:szCs w:val="24"/>
          <w:u w:val="single"/>
        </w:rPr>
      </w:pPr>
    </w:p>
    <w:tbl>
      <w:tblPr>
        <w:tblStyle w:val="aa"/>
        <w:tblW w:w="9413" w:type="dxa"/>
        <w:jc w:val="cente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187"/>
        <w:gridCol w:w="1450"/>
        <w:gridCol w:w="2776"/>
      </w:tblGrid>
      <w:tr w:rsidR="00FF1F16">
        <w:trPr>
          <w:trHeight w:val="270"/>
          <w:jc w:val="center"/>
        </w:trPr>
        <w:tc>
          <w:tcPr>
            <w:tcW w:w="5187" w:type="dxa"/>
            <w:shd w:val="clear" w:color="auto" w:fill="D0CECE"/>
            <w:vAlign w:val="center"/>
          </w:tcPr>
          <w:p w:rsidR="00FF1F16" w:rsidRDefault="004A6500">
            <w:pPr>
              <w:jc w:val="center"/>
              <w:rPr>
                <w:rFonts w:ascii="Arial Narrow" w:eastAsia="Arial Narrow" w:hAnsi="Arial Narrow" w:cs="Arial Narrow"/>
                <w:b/>
                <w:bCs/>
                <w:sz w:val="24"/>
                <w:szCs w:val="24"/>
              </w:rPr>
            </w:pPr>
            <w:r>
              <w:rPr>
                <w:rFonts w:ascii="Arial Narrow" w:eastAsia="Arial Narrow" w:hAnsi="Arial Narrow" w:cs="Arial Narrow"/>
                <w:b/>
                <w:bCs/>
                <w:sz w:val="24"/>
                <w:szCs w:val="24"/>
              </w:rPr>
              <w:t>Acción</w:t>
            </w:r>
          </w:p>
        </w:tc>
        <w:tc>
          <w:tcPr>
            <w:tcW w:w="1450" w:type="dxa"/>
            <w:shd w:val="clear" w:color="auto" w:fill="D0CECE"/>
            <w:vAlign w:val="center"/>
          </w:tcPr>
          <w:p w:rsidR="00FF1F16" w:rsidRDefault="004A6500">
            <w:pPr>
              <w:jc w:val="center"/>
              <w:rPr>
                <w:rFonts w:ascii="Arial Narrow" w:eastAsia="Arial Narrow" w:hAnsi="Arial Narrow" w:cs="Arial Narrow"/>
                <w:b/>
                <w:bCs/>
                <w:sz w:val="24"/>
                <w:szCs w:val="24"/>
              </w:rPr>
            </w:pPr>
            <w:r>
              <w:rPr>
                <w:rFonts w:ascii="Arial Narrow" w:eastAsia="Arial Narrow" w:hAnsi="Arial Narrow" w:cs="Arial Narrow"/>
                <w:b/>
                <w:bCs/>
                <w:sz w:val="24"/>
                <w:szCs w:val="24"/>
              </w:rPr>
              <w:t>Responsable</w:t>
            </w:r>
          </w:p>
        </w:tc>
        <w:tc>
          <w:tcPr>
            <w:tcW w:w="2776" w:type="dxa"/>
            <w:shd w:val="clear" w:color="auto" w:fill="D0CECE"/>
            <w:vAlign w:val="center"/>
          </w:tcPr>
          <w:p w:rsidR="00FF1F16" w:rsidRDefault="004A6500">
            <w:pPr>
              <w:jc w:val="center"/>
              <w:rPr>
                <w:rFonts w:ascii="Arial Narrow" w:eastAsia="Arial Narrow" w:hAnsi="Arial Narrow" w:cs="Arial Narrow"/>
                <w:b/>
                <w:bCs/>
                <w:sz w:val="24"/>
                <w:szCs w:val="24"/>
              </w:rPr>
            </w:pPr>
            <w:r>
              <w:rPr>
                <w:rFonts w:ascii="Arial Narrow" w:eastAsia="Arial Narrow" w:hAnsi="Arial Narrow" w:cs="Arial Narrow"/>
                <w:b/>
                <w:bCs/>
                <w:sz w:val="24"/>
                <w:szCs w:val="24"/>
              </w:rPr>
              <w:t>Fecha</w:t>
            </w:r>
          </w:p>
        </w:tc>
      </w:tr>
      <w:tr w:rsidR="00FF1F16">
        <w:trPr>
          <w:trHeight w:val="417"/>
          <w:jc w:val="center"/>
        </w:trPr>
        <w:tc>
          <w:tcPr>
            <w:tcW w:w="5187" w:type="dxa"/>
            <w:vAlign w:val="center"/>
          </w:tcPr>
          <w:p w:rsidR="00FF1F16" w:rsidRDefault="004A6500">
            <w:pPr>
              <w:spacing w:line="240" w:lineRule="auto"/>
              <w:rPr>
                <w:rFonts w:ascii="Arial Narrow" w:eastAsia="Arial Narrow" w:hAnsi="Arial Narrow" w:cs="Arial Narrow"/>
                <w:sz w:val="24"/>
                <w:szCs w:val="24"/>
              </w:rPr>
            </w:pPr>
            <w:proofErr w:type="gramStart"/>
            <w:r>
              <w:rPr>
                <w:rFonts w:ascii="Arial Narrow" w:eastAsia="Arial Narrow" w:hAnsi="Arial Narrow" w:cs="Arial Narrow"/>
                <w:sz w:val="24"/>
                <w:szCs w:val="24"/>
              </w:rPr>
              <w:t>Actualización  a</w:t>
            </w:r>
            <w:proofErr w:type="gramEnd"/>
            <w:r>
              <w:rPr>
                <w:rFonts w:ascii="Arial Narrow" w:eastAsia="Arial Narrow" w:hAnsi="Arial Narrow" w:cs="Arial Narrow"/>
                <w:sz w:val="24"/>
                <w:szCs w:val="24"/>
              </w:rPr>
              <w:t xml:space="preserve"> partir de la actualización de ETLF</w:t>
            </w:r>
          </w:p>
        </w:tc>
        <w:tc>
          <w:tcPr>
            <w:tcW w:w="1450" w:type="dxa"/>
            <w:vAlign w:val="center"/>
          </w:tcPr>
          <w:p w:rsidR="00FF1F16" w:rsidRDefault="004A6500">
            <w:pPr>
              <w:spacing w:line="240" w:lineRule="auto"/>
              <w:rPr>
                <w:rFonts w:ascii="Arial Narrow" w:eastAsia="Arial Narrow" w:hAnsi="Arial Narrow" w:cs="Arial Narrow"/>
                <w:sz w:val="24"/>
                <w:szCs w:val="24"/>
              </w:rPr>
            </w:pPr>
            <w:r>
              <w:rPr>
                <w:rFonts w:ascii="Arial Narrow" w:eastAsia="Arial Narrow" w:hAnsi="Arial Narrow" w:cs="Arial Narrow"/>
                <w:sz w:val="24"/>
                <w:szCs w:val="24"/>
              </w:rPr>
              <w:t>Ente Gestor</w:t>
            </w:r>
          </w:p>
        </w:tc>
        <w:tc>
          <w:tcPr>
            <w:tcW w:w="2776" w:type="dxa"/>
            <w:vAlign w:val="center"/>
          </w:tcPr>
          <w:p w:rsidR="00FF1F16" w:rsidRDefault="004A6500">
            <w:pPr>
              <w:spacing w:before="240" w:after="24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Diciembre de 2026</w:t>
            </w:r>
          </w:p>
        </w:tc>
      </w:tr>
    </w:tbl>
    <w:p w:rsidR="00FF1F16" w:rsidRDefault="00FF1F16">
      <w:pPr>
        <w:rPr>
          <w:rFonts w:ascii="Arial Narrow" w:eastAsia="Arial Narrow" w:hAnsi="Arial Narrow" w:cs="Arial Narrow"/>
          <w:b/>
          <w:bCs/>
          <w:sz w:val="24"/>
          <w:szCs w:val="24"/>
        </w:rPr>
      </w:pPr>
    </w:p>
    <w:p w:rsidR="00FF1F16" w:rsidRDefault="004A6500">
      <w:pPr>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Fecha propuesta para cumplimiento</w:t>
      </w:r>
    </w:p>
    <w:p w:rsidR="00FF1F16" w:rsidRDefault="00FF1F16">
      <w:pPr>
        <w:rPr>
          <w:rFonts w:ascii="Arial Narrow" w:eastAsia="Arial Narrow" w:hAnsi="Arial Narrow" w:cs="Arial Narrow"/>
          <w:b/>
          <w:bCs/>
          <w:sz w:val="24"/>
          <w:szCs w:val="24"/>
        </w:rPr>
      </w:pPr>
    </w:p>
    <w:p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sz w:val="24"/>
          <w:szCs w:val="24"/>
        </w:rPr>
        <w:t>Compromiso 2:</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II. Analizar e implementar fuentes de financiación para alimentar el FET.</w:t>
      </w:r>
    </w:p>
    <w:p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color w:val="000000"/>
          <w:sz w:val="24"/>
          <w:szCs w:val="24"/>
        </w:rPr>
        <w:t>Responsable:</w:t>
      </w:r>
      <w:r>
        <w:rPr>
          <w:rFonts w:ascii="Arial Narrow" w:eastAsia="Arial Narrow" w:hAnsi="Arial Narrow" w:cs="Arial Narrow"/>
          <w:color w:val="000000"/>
          <w:sz w:val="24"/>
          <w:szCs w:val="24"/>
        </w:rPr>
        <w:t xml:space="preserve"> Operador del sistema – Alcaldía – Municipio- secretaria de Tránsito y Transporte – secretaria de Hacienda/Tesorería – </w:t>
      </w:r>
      <w:r>
        <w:rPr>
          <w:rFonts w:ascii="Arial Narrow" w:eastAsia="Arial Narrow" w:hAnsi="Arial Narrow" w:cs="Arial Narrow"/>
          <w:sz w:val="24"/>
          <w:szCs w:val="24"/>
        </w:rPr>
        <w:t>secretaría</w:t>
      </w:r>
      <w:r>
        <w:rPr>
          <w:rFonts w:ascii="Arial Narrow" w:eastAsia="Arial Narrow" w:hAnsi="Arial Narrow" w:cs="Arial Narrow"/>
          <w:color w:val="000000"/>
          <w:sz w:val="24"/>
          <w:szCs w:val="24"/>
        </w:rPr>
        <w:t xml:space="preserve"> de Planeación o quien haga sus veces – Oficina Jurídica Contractual </w:t>
      </w:r>
    </w:p>
    <w:p w:rsidR="00FF1F16" w:rsidRDefault="004A6500">
      <w:pPr>
        <w:rPr>
          <w:rFonts w:ascii="Arial Narrow" w:eastAsia="Arial Narrow" w:hAnsi="Arial Narrow" w:cs="Arial Narrow"/>
          <w:b/>
          <w:bCs/>
          <w:sz w:val="24"/>
          <w:szCs w:val="24"/>
        </w:rPr>
      </w:pPr>
      <w:r>
        <w:rPr>
          <w:rFonts w:ascii="Arial Narrow" w:eastAsia="Arial Narrow" w:hAnsi="Arial Narrow" w:cs="Arial Narrow"/>
          <w:b/>
          <w:bCs/>
          <w:sz w:val="24"/>
          <w:szCs w:val="24"/>
        </w:rPr>
        <w:t>Fecha inicial límite:</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Numerales a, b y c   4 meses - Nume</w:t>
      </w:r>
      <w:r>
        <w:rPr>
          <w:rFonts w:ascii="Arial Narrow" w:eastAsia="Arial Narrow" w:hAnsi="Arial Narrow" w:cs="Arial Narrow"/>
          <w:color w:val="000000"/>
          <w:sz w:val="24"/>
          <w:szCs w:val="24"/>
        </w:rPr>
        <w:t>rales d, e, f y g - 5 meses septiembre 2026</w:t>
      </w:r>
    </w:p>
    <w:p w:rsidR="00FF1F16" w:rsidRDefault="00FF1F16">
      <w:pPr>
        <w:rPr>
          <w:rFonts w:ascii="Arial Narrow" w:eastAsia="Arial Narrow" w:hAnsi="Arial Narrow" w:cs="Arial Narrow"/>
          <w:b/>
          <w:bCs/>
          <w:sz w:val="24"/>
          <w:szCs w:val="24"/>
        </w:rPr>
      </w:pPr>
    </w:p>
    <w:p w:rsidR="00FF1F16" w:rsidRDefault="004A6500">
      <w:pPr>
        <w:rPr>
          <w:rFonts w:ascii="Arial Narrow" w:eastAsia="Arial Narrow" w:hAnsi="Arial Narrow" w:cs="Arial Narrow"/>
          <w:b/>
          <w:bCs/>
          <w:color w:val="000000"/>
          <w:sz w:val="24"/>
          <w:szCs w:val="24"/>
        </w:rPr>
      </w:pPr>
      <w:r>
        <w:rPr>
          <w:rFonts w:ascii="Arial Narrow" w:eastAsia="Arial Narrow" w:hAnsi="Arial Narrow" w:cs="Arial Narrow"/>
          <w:b/>
          <w:bCs/>
          <w:sz w:val="24"/>
          <w:szCs w:val="24"/>
        </w:rPr>
        <w:t>Compromiso 3:</w:t>
      </w:r>
      <w:r>
        <w:rPr>
          <w:rFonts w:ascii="Arial Narrow" w:eastAsia="Arial Narrow" w:hAnsi="Arial Narrow" w:cs="Arial Narrow"/>
          <w:sz w:val="24"/>
          <w:szCs w:val="24"/>
        </w:rPr>
        <w:t xml:space="preserve"> </w:t>
      </w:r>
      <w:r>
        <w:rPr>
          <w:rFonts w:ascii="Arial Narrow" w:eastAsia="Arial Narrow" w:hAnsi="Arial Narrow" w:cs="Arial Narrow"/>
          <w:b/>
          <w:bCs/>
          <w:color w:val="000000"/>
          <w:sz w:val="24"/>
          <w:szCs w:val="24"/>
        </w:rPr>
        <w:t xml:space="preserve">III. Implementación artículo </w:t>
      </w:r>
      <w:proofErr w:type="gramStart"/>
      <w:r>
        <w:rPr>
          <w:rFonts w:ascii="Arial Narrow" w:eastAsia="Arial Narrow" w:hAnsi="Arial Narrow" w:cs="Arial Narrow"/>
          <w:b/>
          <w:bCs/>
          <w:color w:val="000000"/>
          <w:sz w:val="24"/>
          <w:szCs w:val="24"/>
        </w:rPr>
        <w:t>182  de</w:t>
      </w:r>
      <w:proofErr w:type="gramEnd"/>
      <w:r>
        <w:rPr>
          <w:rFonts w:ascii="Arial Narrow" w:eastAsia="Arial Narrow" w:hAnsi="Arial Narrow" w:cs="Arial Narrow"/>
          <w:b/>
          <w:bCs/>
          <w:color w:val="000000"/>
          <w:sz w:val="24"/>
          <w:szCs w:val="24"/>
        </w:rPr>
        <w:t xml:space="preserve"> la ley 2294 de 2023</w:t>
      </w:r>
    </w:p>
    <w:p w:rsidR="00FF1F16" w:rsidRDefault="004A6500">
      <w:pPr>
        <w:pBdr>
          <w:top w:val="nil"/>
          <w:left w:val="nil"/>
          <w:bottom w:val="nil"/>
          <w:right w:val="nil"/>
          <w:between w:val="nil"/>
        </w:pBdr>
        <w:rPr>
          <w:rFonts w:ascii="Arial Narrow" w:eastAsia="Arial Narrow" w:hAnsi="Arial Narrow" w:cs="Arial Narrow"/>
          <w:sz w:val="24"/>
          <w:szCs w:val="24"/>
        </w:rPr>
      </w:pPr>
      <w:r>
        <w:rPr>
          <w:rFonts w:ascii="Arial Narrow" w:eastAsia="Arial Narrow" w:hAnsi="Arial Narrow" w:cs="Arial Narrow"/>
          <w:b/>
          <w:bCs/>
          <w:color w:val="000000"/>
          <w:sz w:val="24"/>
          <w:szCs w:val="24"/>
        </w:rPr>
        <w:t>Responsable:</w:t>
      </w:r>
      <w:r>
        <w:rPr>
          <w:rFonts w:ascii="Arial Narrow" w:eastAsia="Arial Narrow" w:hAnsi="Arial Narrow" w:cs="Arial Narrow"/>
          <w:color w:val="000000"/>
          <w:sz w:val="24"/>
          <w:szCs w:val="24"/>
        </w:rPr>
        <w:t xml:space="preserve"> </w:t>
      </w:r>
      <w:r>
        <w:rPr>
          <w:rFonts w:ascii="Arial Narrow" w:eastAsia="Arial Narrow" w:hAnsi="Arial Narrow" w:cs="Arial Narrow"/>
          <w:sz w:val="24"/>
          <w:szCs w:val="24"/>
        </w:rPr>
        <w:t>Ente Gestor</w:t>
      </w:r>
      <w:r>
        <w:rPr>
          <w:rFonts w:ascii="Arial Narrow" w:eastAsia="Arial Narrow" w:hAnsi="Arial Narrow" w:cs="Arial Narrow"/>
          <w:color w:val="000000"/>
          <w:sz w:val="24"/>
          <w:szCs w:val="24"/>
        </w:rPr>
        <w:t xml:space="preserve"> – </w:t>
      </w:r>
      <w:r>
        <w:rPr>
          <w:rFonts w:ascii="Arial Narrow" w:eastAsia="Arial Narrow" w:hAnsi="Arial Narrow" w:cs="Arial Narrow"/>
          <w:sz w:val="24"/>
          <w:szCs w:val="24"/>
        </w:rPr>
        <w:t>Secretaría</w:t>
      </w:r>
      <w:r>
        <w:rPr>
          <w:rFonts w:ascii="Arial Narrow" w:eastAsia="Arial Narrow" w:hAnsi="Arial Narrow" w:cs="Arial Narrow"/>
          <w:color w:val="000000"/>
          <w:sz w:val="24"/>
          <w:szCs w:val="24"/>
        </w:rPr>
        <w:t xml:space="preserve"> de Tránsito y Transporte – </w:t>
      </w:r>
      <w:r>
        <w:rPr>
          <w:rFonts w:ascii="Arial Narrow" w:eastAsia="Arial Narrow" w:hAnsi="Arial Narrow" w:cs="Arial Narrow"/>
          <w:sz w:val="24"/>
          <w:szCs w:val="24"/>
        </w:rPr>
        <w:t>S</w:t>
      </w:r>
      <w:r>
        <w:rPr>
          <w:rFonts w:ascii="Arial Narrow" w:eastAsia="Arial Narrow" w:hAnsi="Arial Narrow" w:cs="Arial Narrow"/>
          <w:color w:val="000000"/>
          <w:sz w:val="24"/>
          <w:szCs w:val="24"/>
        </w:rPr>
        <w:t xml:space="preserve">ecretaria de Hacienda – </w:t>
      </w:r>
      <w:r>
        <w:rPr>
          <w:rFonts w:ascii="Arial Narrow" w:eastAsia="Arial Narrow" w:hAnsi="Arial Narrow" w:cs="Arial Narrow"/>
          <w:sz w:val="24"/>
          <w:szCs w:val="24"/>
        </w:rPr>
        <w:t>Secretaría de Planeación – Secretaria General - Of</w:t>
      </w:r>
      <w:r>
        <w:rPr>
          <w:rFonts w:ascii="Arial Narrow" w:eastAsia="Arial Narrow" w:hAnsi="Arial Narrow" w:cs="Arial Narrow"/>
          <w:sz w:val="24"/>
          <w:szCs w:val="24"/>
        </w:rPr>
        <w:t>icina Asesora Jurídica del Municipio</w:t>
      </w:r>
    </w:p>
    <w:p w:rsidR="00FF1F16" w:rsidRDefault="004A6500">
      <w:pPr>
        <w:pBdr>
          <w:top w:val="nil"/>
          <w:left w:val="nil"/>
          <w:bottom w:val="nil"/>
          <w:right w:val="nil"/>
          <w:between w:val="nil"/>
        </w:pBdr>
        <w:rPr>
          <w:rFonts w:ascii="Arial Narrow" w:eastAsia="Arial Narrow" w:hAnsi="Arial Narrow" w:cs="Arial Narrow"/>
          <w:sz w:val="24"/>
          <w:szCs w:val="24"/>
        </w:rPr>
      </w:pPr>
      <w:r>
        <w:rPr>
          <w:rFonts w:ascii="Arial Narrow" w:eastAsia="Arial Narrow" w:hAnsi="Arial Narrow" w:cs="Arial Narrow"/>
          <w:sz w:val="24"/>
          <w:szCs w:val="24"/>
        </w:rPr>
        <w:t>Fecha inicial límite: Numerales a, b y c 4 meses junio 2026, Numerales d, e y f diciembre 2026</w:t>
      </w:r>
    </w:p>
    <w:p w:rsidR="00FF1F16" w:rsidRDefault="00FF1F16">
      <w:pPr>
        <w:pBdr>
          <w:top w:val="nil"/>
          <w:left w:val="nil"/>
          <w:bottom w:val="nil"/>
          <w:right w:val="nil"/>
          <w:between w:val="nil"/>
        </w:pBdr>
        <w:jc w:val="both"/>
        <w:rPr>
          <w:rFonts w:ascii="Arial Narrow" w:eastAsia="Arial Narrow" w:hAnsi="Arial Narrow" w:cs="Arial Narrow"/>
          <w:sz w:val="24"/>
          <w:szCs w:val="24"/>
        </w:rPr>
      </w:pPr>
    </w:p>
    <w:p w:rsidR="00FF1F16" w:rsidRDefault="004A6500">
      <w:pPr>
        <w:pBdr>
          <w:top w:val="nil"/>
          <w:left w:val="nil"/>
          <w:bottom w:val="nil"/>
          <w:right w:val="nil"/>
          <w:between w:val="nil"/>
        </w:pBdr>
        <w:jc w:val="both"/>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Acciones adelantadas:</w:t>
      </w:r>
    </w:p>
    <w:p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Se realizan mesas de trabajo coordinadas por el Ente Gestor con la secretaría de hacienda y la secret</w:t>
      </w:r>
      <w:r>
        <w:rPr>
          <w:rFonts w:ascii="Arial Narrow" w:eastAsia="Arial Narrow" w:hAnsi="Arial Narrow" w:cs="Arial Narrow"/>
          <w:sz w:val="24"/>
          <w:szCs w:val="24"/>
        </w:rPr>
        <w:t xml:space="preserve">aría de tránsito, para identificar fuentes de financiación acordes al artículo 182 de la Ley 2294 de 2023. Se convoca a reunión a otras dependencias de la administración municipal para lograr constituir rentas propias para la sostenibilidad financiera del </w:t>
      </w:r>
      <w:r>
        <w:rPr>
          <w:rFonts w:ascii="Arial Narrow" w:eastAsia="Arial Narrow" w:hAnsi="Arial Narrow" w:cs="Arial Narrow"/>
          <w:sz w:val="24"/>
          <w:szCs w:val="24"/>
        </w:rPr>
        <w:t xml:space="preserve">SETP. </w:t>
      </w:r>
    </w:p>
    <w:p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El 2 de junio de 2026, mediante radicado No. 20261300331453 desde la secretaría de hacienda, se envía citación a analizar información aportada por la Secretaría General, sobre el estado actual de la propiedad de los paraderos con uso de espacio públ</w:t>
      </w:r>
      <w:r>
        <w:rPr>
          <w:rFonts w:ascii="Arial Narrow" w:eastAsia="Arial Narrow" w:hAnsi="Arial Narrow" w:cs="Arial Narrow"/>
          <w:sz w:val="24"/>
          <w:szCs w:val="24"/>
        </w:rPr>
        <w:t>ico, ubicados en inmediaciones del Barrio Bolívar, Facultad de Medicina y Colegio Franciscanas. Así mismo, sobre la verificación de uso del suelo de estos espacios, por parte de la Secretaría de Planeación. De otro lado, se analizará la viabilidad jurídico</w:t>
      </w:r>
      <w:r>
        <w:rPr>
          <w:rFonts w:ascii="Arial Narrow" w:eastAsia="Arial Narrow" w:hAnsi="Arial Narrow" w:cs="Arial Narrow"/>
          <w:sz w:val="24"/>
          <w:szCs w:val="24"/>
        </w:rPr>
        <w:t>-administrativa de arrendar uno de los predios de Movilidad Futura, adquirido en marco del convenio de cofinanciación con el gobierno nacional, para destinarlo provisionalmente como el espacio que dispone la Secretaría de Tránsito y Transporte para los veh</w:t>
      </w:r>
      <w:r>
        <w:rPr>
          <w:rFonts w:ascii="Arial Narrow" w:eastAsia="Arial Narrow" w:hAnsi="Arial Narrow" w:cs="Arial Narrow"/>
          <w:sz w:val="24"/>
          <w:szCs w:val="24"/>
        </w:rPr>
        <w:t>ículos inmovilizados (patios).</w:t>
      </w:r>
    </w:p>
    <w:p w:rsidR="00FF1F16" w:rsidRDefault="00FF1F16">
      <w:pPr>
        <w:pBdr>
          <w:top w:val="nil"/>
          <w:left w:val="nil"/>
          <w:bottom w:val="nil"/>
          <w:right w:val="nil"/>
          <w:between w:val="nil"/>
        </w:pBdr>
        <w:rPr>
          <w:rFonts w:ascii="Arial Narrow" w:eastAsia="Arial Narrow" w:hAnsi="Arial Narrow" w:cs="Arial Narrow"/>
          <w:sz w:val="24"/>
          <w:szCs w:val="24"/>
          <w:highlight w:val="yellow"/>
        </w:rPr>
      </w:pPr>
    </w:p>
    <w:p w:rsidR="00FF1F16" w:rsidRDefault="004A6500">
      <w:pPr>
        <w:pBdr>
          <w:top w:val="nil"/>
          <w:left w:val="nil"/>
          <w:bottom w:val="nil"/>
          <w:right w:val="nil"/>
          <w:between w:val="nil"/>
        </w:pBdr>
        <w:jc w:val="center"/>
        <w:rPr>
          <w:rFonts w:ascii="Arial Narrow" w:eastAsia="Arial Narrow" w:hAnsi="Arial Narrow" w:cs="Arial Narrow"/>
          <w:highlight w:val="yellow"/>
        </w:rPr>
      </w:pPr>
      <w:r>
        <w:rPr>
          <w:rFonts w:ascii="Arial Narrow" w:eastAsia="Arial Narrow" w:hAnsi="Arial Narrow" w:cs="Arial Narrow"/>
          <w:noProof/>
          <w:highlight w:val="yellow"/>
        </w:rPr>
        <w:lastRenderedPageBreak/>
        <w:drawing>
          <wp:inline distT="114300" distB="114300" distL="114300" distR="114300">
            <wp:extent cx="4371733" cy="3593626"/>
            <wp:effectExtent l="25400" t="25400" r="25400" b="25400"/>
            <wp:docPr id="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
                    <a:srcRect/>
                    <a:stretch>
                      <a:fillRect/>
                    </a:stretch>
                  </pic:blipFill>
                  <pic:spPr>
                    <a:xfrm>
                      <a:off x="0" y="0"/>
                      <a:ext cx="4371733" cy="3593626"/>
                    </a:xfrm>
                    <a:prstGeom prst="rect">
                      <a:avLst/>
                    </a:prstGeom>
                    <a:ln w="25400">
                      <a:solidFill>
                        <a:srgbClr val="FFFFFF"/>
                      </a:solidFill>
                      <a:prstDash val="solid"/>
                    </a:ln>
                  </pic:spPr>
                </pic:pic>
              </a:graphicData>
            </a:graphic>
          </wp:inline>
        </w:drawing>
      </w:r>
    </w:p>
    <w:p w:rsidR="00FF1F16" w:rsidRDefault="00FF1F16">
      <w:pPr>
        <w:pBdr>
          <w:top w:val="nil"/>
          <w:left w:val="nil"/>
          <w:bottom w:val="nil"/>
          <w:right w:val="nil"/>
          <w:between w:val="nil"/>
        </w:pBdr>
        <w:rPr>
          <w:rFonts w:ascii="Arial Narrow" w:eastAsia="Arial Narrow" w:hAnsi="Arial Narrow" w:cs="Arial Narrow"/>
        </w:rPr>
      </w:pPr>
    </w:p>
    <w:p w:rsidR="00FF1F16" w:rsidRDefault="00FF1F16">
      <w:pPr>
        <w:pBdr>
          <w:top w:val="nil"/>
          <w:left w:val="nil"/>
          <w:bottom w:val="nil"/>
          <w:right w:val="nil"/>
          <w:between w:val="nil"/>
        </w:pBdr>
        <w:rPr>
          <w:rFonts w:ascii="Arial Narrow" w:eastAsia="Arial Narrow" w:hAnsi="Arial Narrow" w:cs="Arial Narrow"/>
        </w:rPr>
      </w:pPr>
    </w:p>
    <w:p w:rsidR="00FF1F16" w:rsidRDefault="00FF1F16">
      <w:pPr>
        <w:pBdr>
          <w:top w:val="nil"/>
          <w:left w:val="nil"/>
          <w:bottom w:val="nil"/>
          <w:right w:val="nil"/>
          <w:between w:val="nil"/>
        </w:pBdr>
        <w:rPr>
          <w:rFonts w:ascii="Arial Narrow" w:eastAsia="Arial Narrow" w:hAnsi="Arial Narrow" w:cs="Arial Narrow"/>
        </w:rPr>
      </w:pPr>
    </w:p>
    <w:p w:rsidR="00FF1F16" w:rsidRDefault="004A6500">
      <w:pPr>
        <w:rPr>
          <w:rFonts w:ascii="Arial Narrow" w:eastAsia="Arial Narrow" w:hAnsi="Arial Narrow" w:cs="Arial Narrow"/>
          <w:b/>
          <w:bCs/>
          <w:sz w:val="24"/>
          <w:szCs w:val="24"/>
        </w:rPr>
      </w:pPr>
      <w:r>
        <w:rPr>
          <w:rFonts w:ascii="Arial Narrow" w:eastAsia="Arial Narrow" w:hAnsi="Arial Narrow" w:cs="Arial Narrow"/>
          <w:b/>
          <w:bCs/>
          <w:sz w:val="24"/>
          <w:szCs w:val="24"/>
        </w:rPr>
        <w:t>Compromiso 4:</w:t>
      </w:r>
      <w:r>
        <w:rPr>
          <w:rFonts w:ascii="Arial Narrow" w:eastAsia="Arial Narrow" w:hAnsi="Arial Narrow" w:cs="Arial Narrow"/>
          <w:sz w:val="24"/>
          <w:szCs w:val="24"/>
        </w:rPr>
        <w:t xml:space="preserve"> </w:t>
      </w:r>
      <w:r>
        <w:rPr>
          <w:rFonts w:ascii="Arial Narrow" w:eastAsia="Arial Narrow" w:hAnsi="Arial Narrow" w:cs="Arial Narrow"/>
          <w:b/>
          <w:bCs/>
          <w:color w:val="000000"/>
          <w:sz w:val="24"/>
          <w:szCs w:val="24"/>
        </w:rPr>
        <w:t>IV. Mesa UMUS Ente Territorial</w:t>
      </w:r>
      <w:r>
        <w:rPr>
          <w:rFonts w:ascii="Arial Narrow" w:eastAsia="Arial Narrow" w:hAnsi="Arial Narrow" w:cs="Arial Narrow"/>
          <w:color w:val="000000"/>
          <w:sz w:val="24"/>
          <w:szCs w:val="24"/>
        </w:rPr>
        <w:t xml:space="preserve"> - equipo operación y de captura de valor para identificar alternativas de aprovechamiento de la infraestructura del sistema</w:t>
      </w:r>
    </w:p>
    <w:p w:rsidR="00FF1F16" w:rsidRDefault="00FF1F16">
      <w:pPr>
        <w:rPr>
          <w:rFonts w:ascii="Arial Narrow" w:eastAsia="Arial Narrow" w:hAnsi="Arial Narrow" w:cs="Arial Narrow"/>
          <w:b/>
          <w:bCs/>
          <w:sz w:val="24"/>
          <w:szCs w:val="24"/>
        </w:rPr>
      </w:pPr>
    </w:p>
    <w:p w:rsidR="00FF1F16" w:rsidRDefault="00FF1F16">
      <w:pPr>
        <w:rPr>
          <w:rFonts w:ascii="Arial Narrow" w:eastAsia="Arial Narrow" w:hAnsi="Arial Narrow" w:cs="Arial Narrow"/>
          <w:b/>
          <w:bCs/>
          <w:sz w:val="24"/>
          <w:szCs w:val="24"/>
        </w:rPr>
      </w:pPr>
    </w:p>
    <w:p w:rsidR="00FF1F16" w:rsidRDefault="004A6500">
      <w:pPr>
        <w:rPr>
          <w:rFonts w:ascii="Arial Narrow" w:eastAsia="Arial Narrow" w:hAnsi="Arial Narrow" w:cs="Arial Narrow"/>
          <w:b/>
          <w:bCs/>
          <w:sz w:val="24"/>
          <w:szCs w:val="24"/>
        </w:rPr>
      </w:pPr>
      <w:r>
        <w:rPr>
          <w:rFonts w:ascii="Arial Narrow" w:eastAsia="Arial Narrow" w:hAnsi="Arial Narrow" w:cs="Arial Narrow"/>
          <w:b/>
          <w:bCs/>
          <w:sz w:val="24"/>
          <w:szCs w:val="24"/>
        </w:rPr>
        <w:t xml:space="preserve">9. </w:t>
      </w:r>
      <w:r>
        <w:rPr>
          <w:rFonts w:ascii="Arial Narrow" w:eastAsia="Arial Narrow" w:hAnsi="Arial Narrow" w:cs="Arial Narrow"/>
          <w:b/>
          <w:bCs/>
          <w:color w:val="000000"/>
          <w:sz w:val="24"/>
          <w:szCs w:val="24"/>
        </w:rPr>
        <w:t>SOSTENIBILIDAD DE LA OPERACIÓN DEL SISTEMA</w:t>
      </w:r>
    </w:p>
    <w:p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sz w:val="24"/>
          <w:szCs w:val="24"/>
        </w:rPr>
        <w:t xml:space="preserve">Compromiso </w:t>
      </w:r>
      <w:r>
        <w:rPr>
          <w:rFonts w:ascii="Arial Narrow" w:eastAsia="Arial Narrow" w:hAnsi="Arial Narrow" w:cs="Arial Narrow"/>
          <w:b/>
          <w:bCs/>
          <w:color w:val="000000"/>
          <w:sz w:val="24"/>
          <w:szCs w:val="24"/>
        </w:rPr>
        <w:t>1</w:t>
      </w:r>
      <w:r>
        <w:rPr>
          <w:rFonts w:ascii="Arial Narrow" w:eastAsia="Arial Narrow" w:hAnsi="Arial Narrow" w:cs="Arial Narrow"/>
          <w:color w:val="000000"/>
          <w:sz w:val="24"/>
          <w:szCs w:val="24"/>
        </w:rPr>
        <w:t>. Evaluar y definir alternativas de financiamiento basadas en instrumentos ambientales</w:t>
      </w:r>
    </w:p>
    <w:p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color w:val="000000"/>
          <w:sz w:val="24"/>
          <w:szCs w:val="24"/>
        </w:rPr>
        <w:t>Responsable:</w:t>
      </w:r>
      <w:r>
        <w:rPr>
          <w:rFonts w:ascii="Arial Narrow" w:eastAsia="Arial Narrow" w:hAnsi="Arial Narrow" w:cs="Arial Narrow"/>
          <w:color w:val="000000"/>
          <w:sz w:val="24"/>
          <w:szCs w:val="24"/>
        </w:rPr>
        <w:t xml:space="preserve"> Ente Gestor</w:t>
      </w:r>
    </w:p>
    <w:p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color w:val="000000"/>
          <w:sz w:val="24"/>
          <w:szCs w:val="24"/>
        </w:rPr>
        <w:t>Fecha inicial límite:</w:t>
      </w:r>
      <w:r>
        <w:rPr>
          <w:rFonts w:ascii="Arial Narrow" w:eastAsia="Arial Narrow" w:hAnsi="Arial Narrow" w:cs="Arial Narrow"/>
          <w:color w:val="000000"/>
          <w:sz w:val="24"/>
          <w:szCs w:val="24"/>
        </w:rPr>
        <w:t xml:space="preserve"> 1. Evaluación y selección alternativas: hasta junio 2026</w:t>
      </w:r>
    </w:p>
    <w:p w:rsidR="00FF1F16" w:rsidRDefault="004A6500">
      <w:pPr>
        <w:rPr>
          <w:rFonts w:ascii="Arial Narrow" w:eastAsia="Arial Narrow" w:hAnsi="Arial Narrow" w:cs="Arial Narrow"/>
          <w:sz w:val="24"/>
          <w:szCs w:val="24"/>
        </w:rPr>
      </w:pPr>
      <w:r>
        <w:rPr>
          <w:rFonts w:ascii="Arial Narrow" w:eastAsia="Arial Narrow" w:hAnsi="Arial Narrow" w:cs="Arial Narrow"/>
          <w:b/>
          <w:bCs/>
          <w:sz w:val="24"/>
          <w:szCs w:val="24"/>
        </w:rPr>
        <w:t xml:space="preserve">Nueva fecha propuesta: </w:t>
      </w:r>
      <w:r>
        <w:rPr>
          <w:rFonts w:ascii="Arial Narrow" w:eastAsia="Arial Narrow" w:hAnsi="Arial Narrow" w:cs="Arial Narrow"/>
          <w:sz w:val="24"/>
          <w:szCs w:val="24"/>
        </w:rPr>
        <w:t>Hasta junio 2026</w:t>
      </w:r>
    </w:p>
    <w:p w:rsidR="00FF1F16" w:rsidRDefault="00FF1F16">
      <w:pPr>
        <w:rPr>
          <w:rFonts w:ascii="Arial Narrow" w:eastAsia="Arial Narrow" w:hAnsi="Arial Narrow" w:cs="Arial Narrow"/>
          <w:b/>
          <w:bCs/>
          <w:sz w:val="24"/>
          <w:szCs w:val="24"/>
          <w:u w:val="single"/>
        </w:rPr>
      </w:pPr>
    </w:p>
    <w:p w:rsidR="00FF1F16" w:rsidRDefault="004A6500">
      <w:pPr>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Acciones adelantadas:</w:t>
      </w:r>
    </w:p>
    <w:p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Con el propósito de fortalecer la estructuración de alternativas de financiación para la sostenibilidad del SETP, el Ente Gestor solicitó formalmente al Grupo UMUS asistencia técnica, acompañamiento institucional y la conformación de mesas de trabajo orien</w:t>
      </w:r>
      <w:r>
        <w:rPr>
          <w:rFonts w:ascii="Arial Narrow" w:eastAsia="Arial Narrow" w:hAnsi="Arial Narrow" w:cs="Arial Narrow"/>
          <w:sz w:val="24"/>
          <w:szCs w:val="24"/>
        </w:rPr>
        <w:t>tadas al análisis y consolidación de proyectos susceptibles de ser presentados ante entidades y mecanismos de financiación.</w:t>
      </w:r>
    </w:p>
    <w:p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 xml:space="preserve"> </w:t>
      </w:r>
    </w:p>
    <w:p w:rsidR="00FF1F16" w:rsidRDefault="004A65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lastRenderedPageBreak/>
        <w:t>De manera complementaria, se mantiene articulación institucional orientada al intercambio técnico y revisión de alternativas relac</w:t>
      </w:r>
      <w:r>
        <w:rPr>
          <w:rFonts w:ascii="Arial Narrow" w:eastAsia="Arial Narrow" w:hAnsi="Arial Narrow" w:cs="Arial Narrow"/>
          <w:sz w:val="24"/>
          <w:szCs w:val="24"/>
        </w:rPr>
        <w:t>ionadas con sostenibilidad financiera, en concordancia con las iniciativas y procesos adelantados en el marco del Fondo de Estabilización Tarifaria – FET y los instrumentos complementarios de financiación del sistema</w:t>
      </w:r>
    </w:p>
    <w:p w:rsidR="00FF1F16" w:rsidRDefault="00FF1F16">
      <w:pPr>
        <w:jc w:val="both"/>
        <w:rPr>
          <w:rFonts w:ascii="Arial Narrow" w:eastAsia="Arial Narrow" w:hAnsi="Arial Narrow" w:cs="Arial Narrow"/>
          <w:sz w:val="24"/>
          <w:szCs w:val="24"/>
        </w:rPr>
      </w:pPr>
    </w:p>
    <w:p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Se conformó el Comité de Sostenibilida</w:t>
      </w:r>
      <w:r>
        <w:rPr>
          <w:rFonts w:ascii="Arial Narrow" w:eastAsia="Arial Narrow" w:hAnsi="Arial Narrow" w:cs="Arial Narrow"/>
          <w:sz w:val="24"/>
          <w:szCs w:val="24"/>
        </w:rPr>
        <w:t>d ESG, que estará a cargo de la formulación y selección de alternativas, con el acompañamiento del equipo UMUS.</w:t>
      </w:r>
    </w:p>
    <w:p w:rsidR="00FF1F16" w:rsidRDefault="00FF1F16">
      <w:pPr>
        <w:jc w:val="both"/>
        <w:rPr>
          <w:rFonts w:ascii="Arial Narrow" w:eastAsia="Arial Narrow" w:hAnsi="Arial Narrow" w:cs="Arial Narrow"/>
          <w:sz w:val="24"/>
          <w:szCs w:val="24"/>
        </w:rPr>
      </w:pPr>
    </w:p>
    <w:p w:rsidR="00FF1F16" w:rsidRDefault="004A6500">
      <w:pPr>
        <w:jc w:val="both"/>
        <w:rPr>
          <w:rFonts w:ascii="Arial Narrow" w:eastAsia="Arial Narrow" w:hAnsi="Arial Narrow" w:cs="Arial Narrow"/>
          <w:sz w:val="24"/>
          <w:szCs w:val="24"/>
        </w:rPr>
      </w:pPr>
      <w:r>
        <w:rPr>
          <w:rFonts w:ascii="Arial Narrow" w:eastAsia="Arial Narrow" w:hAnsi="Arial Narrow" w:cs="Arial Narrow"/>
          <w:sz w:val="24"/>
          <w:szCs w:val="24"/>
        </w:rPr>
        <w:t>Se han realizado acercamientos con la Gobernación del Cauca para la cofinanciación de la alternativa seleccionada; así con la autoridad ambient</w:t>
      </w:r>
      <w:r>
        <w:rPr>
          <w:rFonts w:ascii="Arial Narrow" w:eastAsia="Arial Narrow" w:hAnsi="Arial Narrow" w:cs="Arial Narrow"/>
          <w:sz w:val="24"/>
          <w:szCs w:val="24"/>
        </w:rPr>
        <w:t xml:space="preserve">al (CRC); con quien existe convenio marco interinstitucional vigente, que permita cofinanciar otras alternativas después de haber finalizado en diciembre de 2025 el convenio interadministrativo 578 de 2024  </w:t>
      </w:r>
      <w:r>
        <w:rPr>
          <w:sz w:val="24"/>
          <w:szCs w:val="24"/>
        </w:rPr>
        <w:t>"PROYECTO PILOTO PARA IMPLEMENTAR ACCIONES DE MEJ</w:t>
      </w:r>
      <w:r>
        <w:rPr>
          <w:sz w:val="24"/>
          <w:szCs w:val="24"/>
        </w:rPr>
        <w:t>ORAMIENTO AMBIENTAL Y PAISAJÍSTICO EN ESTACIONES DEL SISTEMA ESTRATÉGICO DE TRANSPORTE PÚBLICO - SEPT EN LA CIUDAD DE POPAYÁN"</w:t>
      </w:r>
      <w:r>
        <w:rPr>
          <w:rFonts w:ascii="Arial Narrow" w:eastAsia="Arial Narrow" w:hAnsi="Arial Narrow" w:cs="Arial Narrow"/>
          <w:sz w:val="24"/>
          <w:szCs w:val="24"/>
        </w:rPr>
        <w:t xml:space="preserve"> .</w:t>
      </w:r>
    </w:p>
    <w:p w:rsidR="00FF1F16" w:rsidRDefault="00FF1F16">
      <w:pPr>
        <w:jc w:val="both"/>
        <w:rPr>
          <w:rFonts w:ascii="Arial Narrow" w:eastAsia="Arial Narrow" w:hAnsi="Arial Narrow" w:cs="Arial Narrow"/>
          <w:sz w:val="24"/>
          <w:szCs w:val="24"/>
        </w:rPr>
      </w:pPr>
    </w:p>
    <w:p w:rsidR="00FF1F16" w:rsidRDefault="00FF1F16">
      <w:pPr>
        <w:jc w:val="both"/>
        <w:rPr>
          <w:rFonts w:ascii="Arial Narrow" w:eastAsia="Arial Narrow" w:hAnsi="Arial Narrow" w:cs="Arial Narrow"/>
          <w:sz w:val="24"/>
          <w:szCs w:val="24"/>
        </w:rPr>
      </w:pPr>
    </w:p>
    <w:p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sz w:val="24"/>
          <w:szCs w:val="24"/>
        </w:rPr>
        <w:t>Compromiso 2</w:t>
      </w:r>
      <w:r>
        <w:rPr>
          <w:rFonts w:ascii="Arial Narrow" w:eastAsia="Arial Narrow" w:hAnsi="Arial Narrow" w:cs="Arial Narrow"/>
          <w:color w:val="000000"/>
          <w:sz w:val="24"/>
          <w:szCs w:val="24"/>
        </w:rPr>
        <w:t>. Brindar asistencia técnica al Ente Gestor en la estructuración de los proyectos a presentar a las entidades cor</w:t>
      </w:r>
      <w:r>
        <w:rPr>
          <w:rFonts w:ascii="Arial Narrow" w:eastAsia="Arial Narrow" w:hAnsi="Arial Narrow" w:cs="Arial Narrow"/>
          <w:color w:val="000000"/>
          <w:sz w:val="24"/>
          <w:szCs w:val="24"/>
        </w:rPr>
        <w:t>respondientes para aplicar a fuentes de financiación.</w:t>
      </w:r>
    </w:p>
    <w:p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color w:val="000000"/>
          <w:sz w:val="24"/>
          <w:szCs w:val="24"/>
        </w:rPr>
        <w:t>Responsable:</w:t>
      </w:r>
      <w:r>
        <w:rPr>
          <w:rFonts w:ascii="Arial Narrow" w:eastAsia="Arial Narrow" w:hAnsi="Arial Narrow" w:cs="Arial Narrow"/>
          <w:color w:val="000000"/>
          <w:sz w:val="24"/>
          <w:szCs w:val="24"/>
        </w:rPr>
        <w:t xml:space="preserve"> Grupo UMUS </w:t>
      </w:r>
    </w:p>
    <w:p w:rsidR="00FF1F16" w:rsidRDefault="004A6500">
      <w:pPr>
        <w:rPr>
          <w:rFonts w:ascii="Arial Narrow" w:eastAsia="Arial Narrow" w:hAnsi="Arial Narrow" w:cs="Arial Narrow"/>
          <w:color w:val="000000"/>
          <w:sz w:val="24"/>
          <w:szCs w:val="24"/>
        </w:rPr>
      </w:pPr>
      <w:r>
        <w:rPr>
          <w:rFonts w:ascii="Arial Narrow" w:eastAsia="Arial Narrow" w:hAnsi="Arial Narrow" w:cs="Arial Narrow"/>
          <w:b/>
          <w:bCs/>
          <w:color w:val="000000"/>
          <w:sz w:val="24"/>
          <w:szCs w:val="24"/>
        </w:rPr>
        <w:t>Fecha inicial límite</w:t>
      </w:r>
      <w:proofErr w:type="gramStart"/>
      <w:r>
        <w:rPr>
          <w:rFonts w:ascii="Arial Narrow" w:eastAsia="Arial Narrow" w:hAnsi="Arial Narrow" w:cs="Arial Narrow"/>
          <w:b/>
          <w:bCs/>
          <w:color w:val="000000"/>
          <w:sz w:val="24"/>
          <w:szCs w:val="24"/>
        </w:rPr>
        <w:t>:</w:t>
      </w:r>
      <w:r>
        <w:rPr>
          <w:rFonts w:ascii="Arial Narrow" w:eastAsia="Arial Narrow" w:hAnsi="Arial Narrow" w:cs="Arial Narrow"/>
          <w:color w:val="000000"/>
          <w:sz w:val="24"/>
          <w:szCs w:val="24"/>
        </w:rPr>
        <w:t xml:space="preserve"> .</w:t>
      </w:r>
      <w:proofErr w:type="gramEnd"/>
      <w:r>
        <w:rPr>
          <w:rFonts w:ascii="Arial Narrow" w:eastAsia="Arial Narrow" w:hAnsi="Arial Narrow" w:cs="Arial Narrow"/>
          <w:color w:val="000000"/>
          <w:sz w:val="24"/>
          <w:szCs w:val="24"/>
        </w:rPr>
        <w:t xml:space="preserve"> Estructuración y consolidación alternativas seleccionadas: hasta junio 2027</w:t>
      </w:r>
    </w:p>
    <w:p w:rsidR="00FF1F16" w:rsidRDefault="004A6500">
      <w:pPr>
        <w:rPr>
          <w:rFonts w:ascii="Arial Narrow" w:eastAsia="Arial Narrow" w:hAnsi="Arial Narrow" w:cs="Arial Narrow"/>
          <w:b/>
          <w:bCs/>
          <w:sz w:val="24"/>
          <w:szCs w:val="24"/>
          <w:u w:val="single"/>
        </w:rPr>
      </w:pPr>
      <w:r>
        <w:rPr>
          <w:rFonts w:ascii="Arial Narrow" w:eastAsia="Arial Narrow" w:hAnsi="Arial Narrow" w:cs="Arial Narrow"/>
          <w:b/>
          <w:bCs/>
          <w:sz w:val="24"/>
          <w:szCs w:val="24"/>
          <w:u w:val="single"/>
        </w:rPr>
        <w:t>Acciones adelantadas:</w:t>
      </w:r>
    </w:p>
    <w:p w:rsidR="00FF1F16" w:rsidRDefault="004A6500">
      <w:pPr>
        <w:rPr>
          <w:rFonts w:ascii="Arial Narrow" w:eastAsia="Arial Narrow" w:hAnsi="Arial Narrow" w:cs="Arial Narrow"/>
          <w:sz w:val="24"/>
          <w:szCs w:val="24"/>
        </w:rPr>
      </w:pPr>
      <w:r>
        <w:rPr>
          <w:rFonts w:ascii="Arial Narrow" w:eastAsia="Arial Narrow" w:hAnsi="Arial Narrow" w:cs="Arial Narrow"/>
          <w:sz w:val="24"/>
          <w:szCs w:val="24"/>
        </w:rPr>
        <w:t>Se solicita al grupo UMUS la asistencia técnica y acomp</w:t>
      </w:r>
      <w:r>
        <w:rPr>
          <w:rFonts w:ascii="Arial Narrow" w:eastAsia="Arial Narrow" w:hAnsi="Arial Narrow" w:cs="Arial Narrow"/>
          <w:sz w:val="24"/>
          <w:szCs w:val="24"/>
        </w:rPr>
        <w:t>añamiento e igualmente la programación de mesas de trabajo. Se ratifica la fecha límite establecida del mes de junio de 2027.</w:t>
      </w:r>
    </w:p>
    <w:p w:rsidR="00FF1F16" w:rsidRDefault="004A6500">
      <w:pPr>
        <w:rPr>
          <w:rFonts w:ascii="Arial Narrow" w:eastAsia="Arial Narrow" w:hAnsi="Arial Narrow" w:cs="Arial Narrow"/>
          <w:sz w:val="24"/>
          <w:szCs w:val="24"/>
        </w:rPr>
      </w:pPr>
      <w:r>
        <w:rPr>
          <w:rFonts w:ascii="Arial Narrow" w:eastAsia="Arial Narrow" w:hAnsi="Arial Narrow" w:cs="Arial Narrow"/>
          <w:sz w:val="24"/>
          <w:szCs w:val="24"/>
        </w:rPr>
        <w:t>Se espera poder adelantar las gestiones pertinentes para lograr una fuente de financiación.</w:t>
      </w:r>
    </w:p>
    <w:p w:rsidR="00FF1F16" w:rsidRDefault="00FF1F16">
      <w:pPr>
        <w:rPr>
          <w:rFonts w:ascii="Arial Narrow" w:eastAsia="Arial Narrow" w:hAnsi="Arial Narrow" w:cs="Arial Narrow"/>
          <w:sz w:val="24"/>
          <w:szCs w:val="24"/>
        </w:rPr>
      </w:pPr>
    </w:p>
    <w:p w:rsidR="00FF1F16" w:rsidRDefault="00FF1F16">
      <w:pPr>
        <w:rPr>
          <w:rFonts w:ascii="Arial Narrow" w:eastAsia="Arial Narrow" w:hAnsi="Arial Narrow" w:cs="Arial Narrow"/>
          <w:sz w:val="24"/>
          <w:szCs w:val="24"/>
        </w:rPr>
      </w:pPr>
    </w:p>
    <w:p w:rsidR="00FF1F16" w:rsidRDefault="00FF1F16">
      <w:pPr>
        <w:spacing w:line="240" w:lineRule="auto"/>
        <w:jc w:val="center"/>
        <w:rPr>
          <w:rFonts w:ascii="Arial Narrow" w:eastAsia="Arial Narrow" w:hAnsi="Arial Narrow" w:cs="Arial Narrow"/>
          <w:b/>
          <w:bCs/>
        </w:rPr>
      </w:pPr>
      <w:bookmarkStart w:id="3" w:name="_heading=h.tz4xefp3c0y" w:colFirst="0" w:colLast="0"/>
      <w:bookmarkEnd w:id="3"/>
    </w:p>
    <w:p w:rsidR="00FF1F16" w:rsidRDefault="004A6500">
      <w:pPr>
        <w:spacing w:line="240" w:lineRule="auto"/>
        <w:jc w:val="center"/>
        <w:rPr>
          <w:rFonts w:ascii="Arial Narrow" w:eastAsia="Arial Narrow" w:hAnsi="Arial Narrow" w:cs="Arial Narrow"/>
          <w:b/>
          <w:bCs/>
        </w:rPr>
      </w:pPr>
      <w:bookmarkStart w:id="4" w:name="_heading=h.7ffag6yynogb" w:colFirst="0" w:colLast="0"/>
      <w:bookmarkEnd w:id="4"/>
      <w:r>
        <w:rPr>
          <w:rFonts w:ascii="Arial Narrow" w:eastAsia="Arial Narrow" w:hAnsi="Arial Narrow" w:cs="Arial Narrow"/>
          <w:b/>
          <w:bCs/>
        </w:rPr>
        <w:t>ROBINSON FELIPE ACOSTA ORTEGA</w:t>
      </w:r>
    </w:p>
    <w:p w:rsidR="00FF1F16" w:rsidRDefault="004A6500">
      <w:pPr>
        <w:spacing w:line="240" w:lineRule="auto"/>
        <w:jc w:val="center"/>
        <w:rPr>
          <w:rFonts w:ascii="Arial Narrow" w:eastAsia="Arial Narrow" w:hAnsi="Arial Narrow" w:cs="Arial Narrow"/>
        </w:rPr>
      </w:pPr>
      <w:r>
        <w:rPr>
          <w:rFonts w:ascii="Arial Narrow" w:eastAsia="Arial Narrow" w:hAnsi="Arial Narrow" w:cs="Arial Narrow"/>
        </w:rPr>
        <w:t>Gerente</w:t>
      </w:r>
    </w:p>
    <w:p w:rsidR="00FF1F16" w:rsidRDefault="004A6500">
      <w:pPr>
        <w:spacing w:line="240" w:lineRule="auto"/>
        <w:jc w:val="center"/>
        <w:rPr>
          <w:rFonts w:ascii="Arial Narrow" w:eastAsia="Arial Narrow" w:hAnsi="Arial Narrow" w:cs="Arial Narrow"/>
        </w:rPr>
      </w:pPr>
      <w:r>
        <w:rPr>
          <w:rFonts w:ascii="Arial Narrow" w:eastAsia="Arial Narrow" w:hAnsi="Arial Narrow" w:cs="Arial Narrow"/>
        </w:rPr>
        <w:t>MOVILIDAD FUTURA S.A.S</w:t>
      </w:r>
    </w:p>
    <w:p w:rsidR="00FF1F16" w:rsidRDefault="00FF1F16">
      <w:pPr>
        <w:spacing w:line="240" w:lineRule="auto"/>
        <w:jc w:val="center"/>
        <w:rPr>
          <w:rFonts w:ascii="Arial Narrow" w:eastAsia="Arial Narrow" w:hAnsi="Arial Narrow" w:cs="Arial Narrow"/>
        </w:rPr>
      </w:pPr>
    </w:p>
    <w:p w:rsidR="00FF1F16" w:rsidRDefault="00FF1F16">
      <w:pPr>
        <w:spacing w:line="240" w:lineRule="auto"/>
        <w:rPr>
          <w:rFonts w:ascii="Arial Narrow" w:eastAsia="Arial Narrow" w:hAnsi="Arial Narrow" w:cs="Arial Narrow"/>
          <w:sz w:val="18"/>
          <w:szCs w:val="18"/>
        </w:rPr>
      </w:pPr>
    </w:p>
    <w:p w:rsidR="00FF1F16" w:rsidRDefault="004A6500">
      <w:pPr>
        <w:spacing w:line="240" w:lineRule="auto"/>
        <w:rPr>
          <w:rFonts w:ascii="Arial Narrow" w:eastAsia="Arial Narrow" w:hAnsi="Arial Narrow" w:cs="Arial Narrow"/>
          <w:sz w:val="18"/>
          <w:szCs w:val="18"/>
        </w:rPr>
      </w:pPr>
      <w:r>
        <w:rPr>
          <w:rFonts w:ascii="Arial Narrow" w:eastAsia="Arial Narrow" w:hAnsi="Arial Narrow" w:cs="Arial Narrow"/>
          <w:sz w:val="18"/>
          <w:szCs w:val="18"/>
        </w:rPr>
        <w:t xml:space="preserve">Proyectó: </w:t>
      </w:r>
      <w:r>
        <w:rPr>
          <w:rFonts w:ascii="Arial Narrow" w:eastAsia="Arial Narrow" w:hAnsi="Arial Narrow" w:cs="Arial Narrow"/>
          <w:sz w:val="18"/>
          <w:szCs w:val="18"/>
        </w:rPr>
        <w:tab/>
        <w:t>Gloria Patricia Bolaños Mosquera – Contratista Coordinador Operaciones</w:t>
      </w:r>
    </w:p>
    <w:p w:rsidR="00FF1F16" w:rsidRDefault="004A6500">
      <w:pPr>
        <w:spacing w:line="240" w:lineRule="auto"/>
        <w:ind w:firstLine="720"/>
        <w:rPr>
          <w:rFonts w:ascii="Arial Narrow" w:eastAsia="Arial Narrow" w:hAnsi="Arial Narrow" w:cs="Arial Narrow"/>
          <w:sz w:val="18"/>
          <w:szCs w:val="18"/>
        </w:rPr>
      </w:pPr>
      <w:r>
        <w:rPr>
          <w:rFonts w:ascii="Arial Narrow" w:eastAsia="Arial Narrow" w:hAnsi="Arial Narrow" w:cs="Arial Narrow"/>
          <w:sz w:val="18"/>
          <w:szCs w:val="18"/>
        </w:rPr>
        <w:t>David Montes – Contratista Coordinador Infraestructura</w:t>
      </w:r>
    </w:p>
    <w:p w:rsidR="00FF1F16" w:rsidRDefault="004A6500">
      <w:pPr>
        <w:spacing w:line="240" w:lineRule="auto"/>
        <w:ind w:firstLine="720"/>
        <w:rPr>
          <w:rFonts w:ascii="Arial Narrow" w:eastAsia="Arial Narrow" w:hAnsi="Arial Narrow" w:cs="Arial Narrow"/>
          <w:sz w:val="18"/>
          <w:szCs w:val="18"/>
        </w:rPr>
      </w:pPr>
      <w:r>
        <w:rPr>
          <w:rFonts w:ascii="Arial Narrow" w:eastAsia="Arial Narrow" w:hAnsi="Arial Narrow" w:cs="Arial Narrow"/>
          <w:sz w:val="18"/>
          <w:szCs w:val="18"/>
        </w:rPr>
        <w:t>Manuel Alberto Parra Tobar – Líder Jurídico Movilidad Futura S.A.S./</w:t>
      </w:r>
    </w:p>
    <w:p w:rsidR="00FF1F16" w:rsidRDefault="004A6500">
      <w:pPr>
        <w:spacing w:line="240" w:lineRule="auto"/>
        <w:rPr>
          <w:rFonts w:ascii="Arial Narrow" w:eastAsia="Arial Narrow" w:hAnsi="Arial Narrow" w:cs="Arial Narrow"/>
          <w:b/>
          <w:bCs/>
          <w:color w:val="222222"/>
          <w:sz w:val="18"/>
          <w:szCs w:val="18"/>
          <w:highlight w:val="white"/>
        </w:rPr>
      </w:pPr>
      <w:r>
        <w:rPr>
          <w:rFonts w:ascii="Arial Narrow" w:eastAsia="Arial Narrow" w:hAnsi="Arial Narrow" w:cs="Arial Narrow"/>
          <w:sz w:val="18"/>
          <w:szCs w:val="18"/>
        </w:rPr>
        <w:t xml:space="preserve">Revisó: </w:t>
      </w:r>
      <w:r>
        <w:rPr>
          <w:rFonts w:ascii="Arial Narrow" w:eastAsia="Arial Narrow" w:hAnsi="Arial Narrow" w:cs="Arial Narrow"/>
          <w:sz w:val="18"/>
          <w:szCs w:val="18"/>
        </w:rPr>
        <w:tab/>
      </w:r>
      <w:r>
        <w:rPr>
          <w:rFonts w:ascii="Arial Narrow" w:eastAsia="Arial Narrow" w:hAnsi="Arial Narrow" w:cs="Arial Narrow"/>
          <w:sz w:val="18"/>
          <w:szCs w:val="18"/>
        </w:rPr>
        <w:t>Manuel Alberto Parra Tobar – Líder Jurídico Movilidad Futura S.A.S./</w:t>
      </w:r>
    </w:p>
    <w:p w:rsidR="00FF1F16" w:rsidRDefault="004A6500">
      <w:pPr>
        <w:spacing w:line="240" w:lineRule="auto"/>
        <w:rPr>
          <w:rFonts w:ascii="Arial Narrow" w:eastAsia="Arial Narrow" w:hAnsi="Arial Narrow" w:cs="Arial Narrow"/>
          <w:sz w:val="18"/>
          <w:szCs w:val="18"/>
        </w:rPr>
      </w:pPr>
      <w:proofErr w:type="spellStart"/>
      <w:r>
        <w:rPr>
          <w:rFonts w:ascii="Arial Narrow" w:eastAsia="Arial Narrow" w:hAnsi="Arial Narrow" w:cs="Arial Narrow"/>
          <w:sz w:val="18"/>
          <w:szCs w:val="18"/>
        </w:rPr>
        <w:t>VoBo</w:t>
      </w:r>
      <w:proofErr w:type="spellEnd"/>
      <w:r>
        <w:rPr>
          <w:rFonts w:ascii="Arial Narrow" w:eastAsia="Arial Narrow" w:hAnsi="Arial Narrow" w:cs="Arial Narrow"/>
          <w:sz w:val="18"/>
          <w:szCs w:val="18"/>
        </w:rPr>
        <w:t xml:space="preserve">: </w:t>
      </w:r>
      <w:r>
        <w:rPr>
          <w:rFonts w:ascii="Arial Narrow" w:eastAsia="Arial Narrow" w:hAnsi="Arial Narrow" w:cs="Arial Narrow"/>
          <w:sz w:val="18"/>
          <w:szCs w:val="18"/>
        </w:rPr>
        <w:tab/>
        <w:t>Robinson Felipe Acosta Ortega – Gerente.</w:t>
      </w:r>
    </w:p>
    <w:sectPr w:rsidR="00FF1F16">
      <w:headerReference w:type="even" r:id="rId12"/>
      <w:headerReference w:type="default" r:id="rId13"/>
      <w:footerReference w:type="even" r:id="rId14"/>
      <w:footerReference w:type="default" r:id="rId15"/>
      <w:headerReference w:type="first" r:id="rId16"/>
      <w:footerReference w:type="first" r:id="rId17"/>
      <w:pgSz w:w="12240" w:h="15840"/>
      <w:pgMar w:top="851" w:right="1418" w:bottom="1418" w:left="1559" w:header="680"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A6500" w:rsidRDefault="004A6500">
      <w:pPr>
        <w:spacing w:line="240" w:lineRule="auto"/>
      </w:pPr>
      <w:r>
        <w:separator/>
      </w:r>
    </w:p>
  </w:endnote>
  <w:endnote w:type="continuationSeparator" w:id="0">
    <w:p w:rsidR="004A6500" w:rsidRDefault="004A650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de3of9">
    <w:altName w:val="Calibri"/>
    <w:charset w:val="00"/>
    <w:family w:val="auto"/>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embedRegular r:id="rId1" w:fontKey="{4A46AAC7-94BE-44FB-B085-25F54EA83892}"/>
    <w:embedBold r:id="rId2" w:fontKey="{2CC8984D-BC4B-4365-9C20-54C73D010197}"/>
    <w:embedItalic r:id="rId3" w:fontKey="{0DCB05C9-67E8-453C-839E-97633D1BE563}"/>
  </w:font>
  <w:font w:name="Arial Unicode MS">
    <w:altName w:val="Arial"/>
    <w:panose1 w:val="020B0604020202020204"/>
    <w:charset w:val="00"/>
    <w:family w:val="auto"/>
    <w:pitch w:val="default"/>
  </w:font>
  <w:font w:name="Calibri">
    <w:panose1 w:val="020F0502020204030204"/>
    <w:charset w:val="00"/>
    <w:family w:val="swiss"/>
    <w:pitch w:val="variable"/>
    <w:sig w:usb0="E4002EFF" w:usb1="C000247B" w:usb2="00000009" w:usb3="00000000" w:csb0="000001FF" w:csb1="00000000"/>
    <w:embedRegular r:id="rId4" w:fontKey="{064708CF-5A2F-4FA8-A375-A79DD0EEA9C7}"/>
  </w:font>
  <w:font w:name="Cambria">
    <w:panose1 w:val="02040503050406030204"/>
    <w:charset w:val="00"/>
    <w:family w:val="roman"/>
    <w:pitch w:val="variable"/>
    <w:sig w:usb0="E00006FF" w:usb1="420024FF" w:usb2="02000000" w:usb3="00000000" w:csb0="0000019F" w:csb1="00000000"/>
    <w:embedRegular r:id="rId5" w:fontKey="{17F09749-1194-4CA1-A4D8-E99F0A9E9BC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F1F16" w:rsidRDefault="00FF1F16">
    <w:pPr>
      <w:pBdr>
        <w:top w:val="nil"/>
        <w:left w:val="nil"/>
        <w:bottom w:val="nil"/>
        <w:right w:val="nil"/>
        <w:between w:val="nil"/>
      </w:pBdr>
      <w:tabs>
        <w:tab w:val="center" w:pos="4419"/>
        <w:tab w:val="right" w:pos="8838"/>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F1F16" w:rsidRDefault="004A6500">
    <w:pPr>
      <w:pBdr>
        <w:top w:val="nil"/>
        <w:left w:val="nil"/>
        <w:bottom w:val="nil"/>
        <w:right w:val="nil"/>
        <w:between w:val="nil"/>
      </w:pBdr>
      <w:tabs>
        <w:tab w:val="center" w:pos="4419"/>
        <w:tab w:val="right" w:pos="8838"/>
      </w:tabs>
      <w:spacing w:line="240" w:lineRule="auto"/>
      <w:rPr>
        <w:color w:val="000000"/>
        <w:sz w:val="12"/>
        <w:szCs w:val="12"/>
      </w:rPr>
    </w:pPr>
    <w:r>
      <w:rPr>
        <w:noProof/>
      </w:rPr>
      <w:drawing>
        <wp:anchor distT="0" distB="0" distL="0" distR="0" simplePos="0" relativeHeight="251657728" behindDoc="1" locked="0" layoutInCell="1" hidden="0" allowOverlap="1">
          <wp:simplePos x="0" y="0"/>
          <wp:positionH relativeFrom="column">
            <wp:posOffset>-1254123</wp:posOffset>
          </wp:positionH>
          <wp:positionV relativeFrom="paragraph">
            <wp:posOffset>-459738</wp:posOffset>
          </wp:positionV>
          <wp:extent cx="2631346" cy="1702435"/>
          <wp:effectExtent l="0" t="0" r="0" b="0"/>
          <wp:wrapNone/>
          <wp:docPr id="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
                  <a:srcRect/>
                  <a:stretch>
                    <a:fillRect/>
                  </a:stretch>
                </pic:blipFill>
                <pic:spPr>
                  <a:xfrm>
                    <a:off x="0" y="0"/>
                    <a:ext cx="2631346" cy="1702435"/>
                  </a:xfrm>
                  <a:prstGeom prst="rect">
                    <a:avLst/>
                  </a:prstGeom>
                  <a:ln/>
                </pic:spPr>
              </pic:pic>
            </a:graphicData>
          </a:graphic>
        </wp:anchor>
      </w:drawing>
    </w:r>
  </w:p>
  <w:p w:rsidR="00FF1F16" w:rsidRDefault="004A6500">
    <w:pPr>
      <w:pBdr>
        <w:top w:val="nil"/>
        <w:left w:val="nil"/>
        <w:bottom w:val="nil"/>
        <w:right w:val="nil"/>
        <w:between w:val="nil"/>
      </w:pBdr>
      <w:tabs>
        <w:tab w:val="center" w:pos="4419"/>
        <w:tab w:val="center" w:pos="4631"/>
        <w:tab w:val="left" w:pos="7016"/>
        <w:tab w:val="right" w:pos="8838"/>
      </w:tabs>
      <w:spacing w:line="240" w:lineRule="auto"/>
      <w:rPr>
        <w:color w:val="000000"/>
        <w:sz w:val="12"/>
        <w:szCs w:val="12"/>
      </w:rPr>
    </w:pPr>
    <w:r>
      <w:rPr>
        <w:color w:val="000000"/>
        <w:sz w:val="12"/>
        <w:szCs w:val="12"/>
      </w:rPr>
      <w:tab/>
      <w:t xml:space="preserve">Carrera 9 </w:t>
    </w:r>
    <w:proofErr w:type="spellStart"/>
    <w:r>
      <w:rPr>
        <w:color w:val="000000"/>
        <w:sz w:val="12"/>
        <w:szCs w:val="12"/>
      </w:rPr>
      <w:t>N°</w:t>
    </w:r>
    <w:proofErr w:type="spellEnd"/>
    <w:r>
      <w:rPr>
        <w:color w:val="000000"/>
        <w:sz w:val="12"/>
        <w:szCs w:val="12"/>
      </w:rPr>
      <w:t xml:space="preserve"> 62 N 47 –Bellavista Popayán</w:t>
    </w:r>
  </w:p>
  <w:p w:rsidR="00FF1F16" w:rsidRDefault="004A6500">
    <w:pPr>
      <w:pBdr>
        <w:top w:val="nil"/>
        <w:left w:val="nil"/>
        <w:bottom w:val="nil"/>
        <w:right w:val="nil"/>
        <w:between w:val="nil"/>
      </w:pBdr>
      <w:tabs>
        <w:tab w:val="center" w:pos="4419"/>
        <w:tab w:val="right" w:pos="8838"/>
      </w:tabs>
      <w:spacing w:line="240" w:lineRule="auto"/>
      <w:jc w:val="center"/>
      <w:rPr>
        <w:color w:val="000000"/>
        <w:sz w:val="12"/>
        <w:szCs w:val="12"/>
      </w:rPr>
    </w:pPr>
    <w:r>
      <w:rPr>
        <w:color w:val="000000"/>
        <w:sz w:val="12"/>
        <w:szCs w:val="12"/>
      </w:rPr>
      <w:t xml:space="preserve"> Teléfono: 8205898</w:t>
    </w:r>
  </w:p>
  <w:p w:rsidR="00FF1F16" w:rsidRDefault="004A6500">
    <w:pPr>
      <w:pBdr>
        <w:top w:val="nil"/>
        <w:left w:val="nil"/>
        <w:bottom w:val="nil"/>
        <w:right w:val="nil"/>
        <w:between w:val="nil"/>
      </w:pBdr>
      <w:tabs>
        <w:tab w:val="center" w:pos="4419"/>
        <w:tab w:val="right" w:pos="8838"/>
      </w:tabs>
      <w:spacing w:line="240" w:lineRule="auto"/>
      <w:jc w:val="center"/>
      <w:rPr>
        <w:color w:val="000000"/>
        <w:sz w:val="12"/>
        <w:szCs w:val="12"/>
      </w:rPr>
    </w:pPr>
    <w:hyperlink r:id="rId2">
      <w:r>
        <w:rPr>
          <w:color w:val="0000FF"/>
          <w:sz w:val="12"/>
          <w:szCs w:val="12"/>
          <w:u w:val="single"/>
        </w:rPr>
        <w:t>www.movilidadfutura.gov.co</w:t>
      </w:r>
    </w:hyperlink>
    <w:r>
      <w:rPr>
        <w:color w:val="000000"/>
        <w:sz w:val="12"/>
        <w:szCs w:val="12"/>
      </w:rPr>
      <w:t xml:space="preserve"> – servicioalciudadano@movilidadfutura.gov.co</w:t>
    </w:r>
  </w:p>
  <w:p w:rsidR="00FF1F16" w:rsidRDefault="004A6500">
    <w:pPr>
      <w:pBdr>
        <w:top w:val="nil"/>
        <w:left w:val="nil"/>
        <w:bottom w:val="nil"/>
        <w:right w:val="nil"/>
        <w:between w:val="nil"/>
      </w:pBdr>
      <w:tabs>
        <w:tab w:val="center" w:pos="4419"/>
        <w:tab w:val="right" w:pos="8838"/>
      </w:tabs>
      <w:spacing w:line="240" w:lineRule="auto"/>
      <w:jc w:val="center"/>
      <w:rPr>
        <w:color w:val="000000"/>
        <w:sz w:val="12"/>
        <w:szCs w:val="12"/>
      </w:rPr>
    </w:pPr>
    <w:r>
      <w:rPr>
        <w:color w:val="000000"/>
        <w:sz w:val="12"/>
        <w:szCs w:val="12"/>
      </w:rPr>
      <w:t>Nit:900323358-2</w:t>
    </w:r>
  </w:p>
  <w:p w:rsidR="00FF1F16" w:rsidRDefault="00FF1F16">
    <w:pPr>
      <w:pBdr>
        <w:top w:val="nil"/>
        <w:left w:val="nil"/>
        <w:bottom w:val="nil"/>
        <w:right w:val="nil"/>
        <w:between w:val="nil"/>
      </w:pBdr>
      <w:tabs>
        <w:tab w:val="center" w:pos="4419"/>
        <w:tab w:val="right" w:pos="8838"/>
      </w:tabs>
      <w:spacing w:line="240" w:lineRule="auto"/>
      <w:jc w:val="center"/>
      <w:rPr>
        <w:color w:val="000000"/>
        <w:sz w:val="12"/>
        <w:szCs w:val="12"/>
      </w:rPr>
    </w:pPr>
  </w:p>
  <w:p w:rsidR="00FF1F16" w:rsidRDefault="004A6500">
    <w:pPr>
      <w:pBdr>
        <w:top w:val="nil"/>
        <w:left w:val="nil"/>
        <w:bottom w:val="nil"/>
        <w:right w:val="nil"/>
        <w:between w:val="nil"/>
      </w:pBdr>
      <w:tabs>
        <w:tab w:val="center" w:pos="4419"/>
        <w:tab w:val="right" w:pos="8838"/>
      </w:tabs>
      <w:spacing w:line="240" w:lineRule="auto"/>
      <w:jc w:val="right"/>
      <w:rPr>
        <w:color w:val="000000"/>
        <w:sz w:val="12"/>
        <w:szCs w:val="12"/>
      </w:rPr>
    </w:pPr>
    <w:r>
      <w:rPr>
        <w:color w:val="000000"/>
        <w:sz w:val="12"/>
        <w:szCs w:val="12"/>
      </w:rPr>
      <w:t xml:space="preserve">Página </w:t>
    </w:r>
    <w:r>
      <w:rPr>
        <w:b/>
        <w:bCs/>
        <w:color w:val="000000"/>
        <w:sz w:val="12"/>
        <w:szCs w:val="12"/>
      </w:rPr>
      <w:fldChar w:fldCharType="begin"/>
    </w:r>
    <w:r>
      <w:rPr>
        <w:b/>
        <w:bCs/>
        <w:color w:val="000000"/>
        <w:sz w:val="12"/>
        <w:szCs w:val="12"/>
      </w:rPr>
      <w:instrText>PAGE</w:instrText>
    </w:r>
    <w:r w:rsidR="009A020C">
      <w:rPr>
        <w:b/>
        <w:bCs/>
        <w:color w:val="000000"/>
        <w:sz w:val="12"/>
        <w:szCs w:val="12"/>
      </w:rPr>
      <w:fldChar w:fldCharType="separate"/>
    </w:r>
    <w:r w:rsidR="009A020C">
      <w:rPr>
        <w:b/>
        <w:bCs/>
        <w:noProof/>
        <w:color w:val="000000"/>
        <w:sz w:val="12"/>
        <w:szCs w:val="12"/>
      </w:rPr>
      <w:t>1</w:t>
    </w:r>
    <w:r>
      <w:rPr>
        <w:b/>
        <w:bCs/>
        <w:color w:val="000000"/>
        <w:sz w:val="12"/>
        <w:szCs w:val="12"/>
      </w:rPr>
      <w:fldChar w:fldCharType="end"/>
    </w:r>
    <w:r>
      <w:rPr>
        <w:color w:val="000000"/>
        <w:sz w:val="12"/>
        <w:szCs w:val="12"/>
      </w:rPr>
      <w:t xml:space="preserve"> de </w:t>
    </w:r>
    <w:r>
      <w:rPr>
        <w:b/>
        <w:bCs/>
        <w:color w:val="000000"/>
        <w:sz w:val="12"/>
        <w:szCs w:val="12"/>
      </w:rPr>
      <w:fldChar w:fldCharType="begin"/>
    </w:r>
    <w:r>
      <w:rPr>
        <w:b/>
        <w:bCs/>
        <w:color w:val="000000"/>
        <w:sz w:val="12"/>
        <w:szCs w:val="12"/>
      </w:rPr>
      <w:instrText>NUMPAGES</w:instrText>
    </w:r>
    <w:r w:rsidR="009A020C">
      <w:rPr>
        <w:b/>
        <w:bCs/>
        <w:color w:val="000000"/>
        <w:sz w:val="12"/>
        <w:szCs w:val="12"/>
      </w:rPr>
      <w:fldChar w:fldCharType="separate"/>
    </w:r>
    <w:r w:rsidR="009A020C">
      <w:rPr>
        <w:b/>
        <w:bCs/>
        <w:noProof/>
        <w:color w:val="000000"/>
        <w:sz w:val="12"/>
        <w:szCs w:val="12"/>
      </w:rPr>
      <w:t>1</w:t>
    </w:r>
    <w:r>
      <w:rPr>
        <w:b/>
        <w:bCs/>
        <w:color w:val="000000"/>
        <w:sz w:val="12"/>
        <w:szCs w:val="12"/>
      </w:rPr>
      <w:fldChar w:fldCharType="end"/>
    </w:r>
  </w:p>
  <w:p w:rsidR="00FF1F16" w:rsidRDefault="004A6500">
    <w:pPr>
      <w:pBdr>
        <w:top w:val="nil"/>
        <w:left w:val="nil"/>
        <w:bottom w:val="nil"/>
        <w:right w:val="nil"/>
        <w:between w:val="nil"/>
      </w:pBdr>
      <w:tabs>
        <w:tab w:val="center" w:pos="4419"/>
        <w:tab w:val="right" w:pos="8838"/>
      </w:tabs>
      <w:spacing w:line="240" w:lineRule="auto"/>
      <w:rPr>
        <w:color w:val="000000"/>
      </w:rPr>
    </w:pPr>
    <w:r>
      <w:rPr>
        <w:noProof/>
      </w:rPr>
      <w:drawing>
        <wp:anchor distT="0" distB="0" distL="0" distR="0" simplePos="0" relativeHeight="251658752" behindDoc="1" locked="0" layoutInCell="1" hidden="0" allowOverlap="1">
          <wp:simplePos x="0" y="0"/>
          <wp:positionH relativeFrom="column">
            <wp:posOffset>2370455</wp:posOffset>
          </wp:positionH>
          <wp:positionV relativeFrom="paragraph">
            <wp:posOffset>63500</wp:posOffset>
          </wp:positionV>
          <wp:extent cx="1562100" cy="472487"/>
          <wp:effectExtent l="0" t="0" r="0" b="0"/>
          <wp:wrapNone/>
          <wp:docPr id="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
                  <a:srcRect l="8500" t="23618" r="10500" b="13829"/>
                  <a:stretch>
                    <a:fillRect/>
                  </a:stretch>
                </pic:blipFill>
                <pic:spPr>
                  <a:xfrm>
                    <a:off x="0" y="0"/>
                    <a:ext cx="1562100" cy="472487"/>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F1F16" w:rsidRDefault="00FF1F16">
    <w:pPr>
      <w:pBdr>
        <w:top w:val="nil"/>
        <w:left w:val="nil"/>
        <w:bottom w:val="nil"/>
        <w:right w:val="nil"/>
        <w:between w:val="nil"/>
      </w:pBdr>
      <w:tabs>
        <w:tab w:val="center" w:pos="4419"/>
        <w:tab w:val="right" w:pos="8838"/>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A6500" w:rsidRDefault="004A6500">
      <w:pPr>
        <w:spacing w:line="240" w:lineRule="auto"/>
      </w:pPr>
      <w:r>
        <w:separator/>
      </w:r>
    </w:p>
  </w:footnote>
  <w:footnote w:type="continuationSeparator" w:id="0">
    <w:p w:rsidR="004A6500" w:rsidRDefault="004A650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F1F16" w:rsidRDefault="004A6500">
    <w:pPr>
      <w:pBdr>
        <w:top w:val="nil"/>
        <w:left w:val="nil"/>
        <w:bottom w:val="nil"/>
        <w:right w:val="nil"/>
        <w:between w:val="nil"/>
      </w:pBdr>
      <w:tabs>
        <w:tab w:val="center" w:pos="4419"/>
        <w:tab w:val="right" w:pos="8838"/>
      </w:tabs>
      <w:spacing w:line="240" w:lineRule="auto"/>
      <w:rPr>
        <w:color w:val="000000"/>
      </w:rPr>
    </w:pPr>
    <w:r>
      <w:rPr>
        <w:color w:val="00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49" type="#_x0000_t75" alt="" style="position:absolute;margin-left:0;margin-top:0;width:462.8pt;height:598.95pt;z-index:-251655680;mso-position-horizontal:center;mso-position-horizontal-relative:margin;mso-position-vertical:center;mso-position-vertical-relative:margin">
          <v:imagedata r:id="rId1" o:title="image10"/>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F1F16" w:rsidRDefault="004A6500">
    <w:pPr>
      <w:pBdr>
        <w:top w:val="nil"/>
        <w:left w:val="nil"/>
        <w:bottom w:val="nil"/>
        <w:right w:val="nil"/>
        <w:between w:val="nil"/>
      </w:pBdr>
      <w:tabs>
        <w:tab w:val="center" w:pos="4419"/>
        <w:tab w:val="right" w:pos="8838"/>
      </w:tabs>
      <w:spacing w:line="240" w:lineRule="auto"/>
      <w:rPr>
        <w:color w:val="000000"/>
      </w:rPr>
    </w:pPr>
    <w:r>
      <w:rPr>
        <w:noProof/>
      </w:rPr>
      <w:drawing>
        <wp:anchor distT="0" distB="0" distL="0" distR="0" simplePos="0" relativeHeight="251654656" behindDoc="1" locked="0" layoutInCell="1" hidden="0" allowOverlap="1">
          <wp:simplePos x="0" y="0"/>
          <wp:positionH relativeFrom="column">
            <wp:posOffset>4946015</wp:posOffset>
          </wp:positionH>
          <wp:positionV relativeFrom="paragraph">
            <wp:posOffset>55243</wp:posOffset>
          </wp:positionV>
          <wp:extent cx="876300" cy="756505"/>
          <wp:effectExtent l="0" t="0" r="0" b="0"/>
          <wp:wrapNone/>
          <wp:docPr id="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876300" cy="756505"/>
                  </a:xfrm>
                  <a:prstGeom prst="rect">
                    <a:avLst/>
                  </a:prstGeom>
                  <a:ln/>
                </pic:spPr>
              </pic:pic>
            </a:graphicData>
          </a:graphic>
        </wp:anchor>
      </w:drawing>
    </w:r>
    <w:r>
      <w:rPr>
        <w:noProof/>
      </w:rPr>
      <w:drawing>
        <wp:anchor distT="0" distB="0" distL="0" distR="0" simplePos="0" relativeHeight="251655680" behindDoc="1" locked="0" layoutInCell="1" hidden="0" allowOverlap="1">
          <wp:simplePos x="0" y="0"/>
          <wp:positionH relativeFrom="column">
            <wp:posOffset>-603883</wp:posOffset>
          </wp:positionH>
          <wp:positionV relativeFrom="paragraph">
            <wp:posOffset>-106678</wp:posOffset>
          </wp:positionV>
          <wp:extent cx="1601712" cy="934720"/>
          <wp:effectExtent l="0" t="0" r="0" b="0"/>
          <wp:wrapNone/>
          <wp:docPr id="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
                  <a:srcRect/>
                  <a:stretch>
                    <a:fillRect/>
                  </a:stretch>
                </pic:blipFill>
                <pic:spPr>
                  <a:xfrm>
                    <a:off x="0" y="0"/>
                    <a:ext cx="1601712" cy="934720"/>
                  </a:xfrm>
                  <a:prstGeom prst="rect">
                    <a:avLst/>
                  </a:prstGeom>
                  <a:ln/>
                </pic:spPr>
              </pic:pic>
            </a:graphicData>
          </a:graphic>
        </wp:anchor>
      </w:drawing>
    </w:r>
    <w:r>
      <w:rPr>
        <w:noProof/>
      </w:rPr>
      <w:drawing>
        <wp:anchor distT="0" distB="0" distL="114300" distR="114300" simplePos="0" relativeHeight="251656704" behindDoc="0" locked="0" layoutInCell="1" hidden="0" allowOverlap="1">
          <wp:simplePos x="0" y="0"/>
          <wp:positionH relativeFrom="column">
            <wp:posOffset>4476115</wp:posOffset>
          </wp:positionH>
          <wp:positionV relativeFrom="paragraph">
            <wp:posOffset>-452118</wp:posOffset>
          </wp:positionV>
          <wp:extent cx="2344722" cy="849750"/>
          <wp:effectExtent l="0" t="0" r="0" b="0"/>
          <wp:wrapNone/>
          <wp:docPr id="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
                  <a:srcRect/>
                  <a:stretch>
                    <a:fillRect/>
                  </a:stretch>
                </pic:blipFill>
                <pic:spPr>
                  <a:xfrm>
                    <a:off x="0" y="0"/>
                    <a:ext cx="2344722" cy="849750"/>
                  </a:xfrm>
                  <a:prstGeom prst="rect">
                    <a:avLst/>
                  </a:prstGeom>
                  <a:ln/>
                </pic:spPr>
              </pic:pic>
            </a:graphicData>
          </a:graphic>
        </wp:anchor>
      </w:drawing>
    </w:r>
  </w:p>
  <w:tbl>
    <w:tblPr>
      <w:tblStyle w:val="ab"/>
      <w:tblW w:w="6508" w:type="dxa"/>
      <w:tblInd w:w="1299"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Layout w:type="fixed"/>
      <w:tblLook w:val="04A0" w:firstRow="1" w:lastRow="0" w:firstColumn="1" w:lastColumn="0" w:noHBand="0" w:noVBand="1"/>
    </w:tblPr>
    <w:tblGrid>
      <w:gridCol w:w="5235"/>
      <w:gridCol w:w="1273"/>
    </w:tblGrid>
    <w:tr w:rsidR="00FF1F16" w:rsidTr="00FF1F16">
      <w:trPr>
        <w:cnfStyle w:val="100000000000" w:firstRow="1" w:lastRow="0" w:firstColumn="0" w:lastColumn="0" w:oddVBand="0" w:evenVBand="0" w:oddHBand="0" w:evenHBand="0" w:firstRowFirstColumn="0" w:firstRowLastColumn="0" w:lastRowFirstColumn="0" w:lastRowLastColumn="0"/>
        <w:trHeight w:val="122"/>
      </w:trPr>
      <w:tc>
        <w:tcPr>
          <w:cnfStyle w:val="001000000000" w:firstRow="0" w:lastRow="0" w:firstColumn="1" w:lastColumn="0" w:oddVBand="0" w:evenVBand="0" w:oddHBand="0" w:evenHBand="0" w:firstRowFirstColumn="0" w:firstRowLastColumn="0" w:lastRowFirstColumn="0" w:lastRowLastColumn="0"/>
          <w:tcW w:w="5235" w:type="dxa"/>
          <w:shd w:val="clear" w:color="auto" w:fill="auto"/>
          <w:vAlign w:val="center"/>
        </w:tcPr>
        <w:p w:rsidR="00FF1F16" w:rsidRDefault="00FF1F16">
          <w:pPr>
            <w:jc w:val="both"/>
            <w:rPr>
              <w:rFonts w:ascii="Arial Narrow" w:eastAsia="Arial Narrow" w:hAnsi="Arial Narrow" w:cs="Arial Narrow"/>
            </w:rPr>
          </w:pPr>
        </w:p>
        <w:p w:rsidR="00FF1F16" w:rsidRDefault="004A6500">
          <w:pPr>
            <w:pBdr>
              <w:top w:val="nil"/>
              <w:left w:val="nil"/>
              <w:bottom w:val="nil"/>
              <w:right w:val="nil"/>
              <w:between w:val="nil"/>
            </w:pBdr>
            <w:spacing w:line="240" w:lineRule="auto"/>
            <w:jc w:val="center"/>
            <w:rPr>
              <w:color w:val="000000"/>
              <w:sz w:val="18"/>
              <w:szCs w:val="18"/>
            </w:rPr>
          </w:pPr>
          <w:r>
            <w:rPr>
              <w:b w:val="0"/>
              <w:bCs w:val="0"/>
              <w:color w:val="000000"/>
              <w:sz w:val="18"/>
              <w:szCs w:val="18"/>
            </w:rPr>
            <w:t>DIRECCIONAMIENTO ESTRATÉGICO</w:t>
          </w:r>
        </w:p>
      </w:tc>
      <w:tc>
        <w:tcPr>
          <w:tcW w:w="1273" w:type="dxa"/>
          <w:shd w:val="clear" w:color="auto" w:fill="auto"/>
          <w:vAlign w:val="center"/>
        </w:tcPr>
        <w:p w:rsidR="00FF1F16" w:rsidRDefault="004A6500">
          <w:pPr>
            <w:pBdr>
              <w:top w:val="nil"/>
              <w:left w:val="nil"/>
              <w:bottom w:val="nil"/>
              <w:right w:val="nil"/>
              <w:between w:val="nil"/>
            </w:pBdr>
            <w:spacing w:line="240" w:lineRule="auto"/>
            <w:jc w:val="center"/>
            <w:cnfStyle w:val="100000000000" w:firstRow="1" w:lastRow="0" w:firstColumn="0" w:lastColumn="0" w:oddVBand="0" w:evenVBand="0" w:oddHBand="0" w:evenHBand="0" w:firstRowFirstColumn="0" w:firstRowLastColumn="0" w:lastRowFirstColumn="0" w:lastRowLastColumn="0"/>
            <w:rPr>
              <w:color w:val="000000"/>
              <w:sz w:val="12"/>
              <w:szCs w:val="12"/>
            </w:rPr>
          </w:pPr>
          <w:r>
            <w:rPr>
              <w:b w:val="0"/>
              <w:bCs w:val="0"/>
              <w:color w:val="000000"/>
              <w:sz w:val="12"/>
              <w:szCs w:val="12"/>
            </w:rPr>
            <w:t xml:space="preserve">Código: </w:t>
          </w:r>
        </w:p>
        <w:p w:rsidR="00FF1F16" w:rsidRDefault="004A6500">
          <w:pPr>
            <w:pBdr>
              <w:top w:val="nil"/>
              <w:left w:val="nil"/>
              <w:bottom w:val="nil"/>
              <w:right w:val="nil"/>
              <w:between w:val="nil"/>
            </w:pBdr>
            <w:spacing w:line="240" w:lineRule="auto"/>
            <w:jc w:val="center"/>
            <w:cnfStyle w:val="100000000000" w:firstRow="1" w:lastRow="0" w:firstColumn="0" w:lastColumn="0" w:oddVBand="0" w:evenVBand="0" w:oddHBand="0" w:evenHBand="0" w:firstRowFirstColumn="0" w:firstRowLastColumn="0" w:lastRowFirstColumn="0" w:lastRowLastColumn="0"/>
            <w:rPr>
              <w:color w:val="000000"/>
              <w:sz w:val="12"/>
              <w:szCs w:val="12"/>
            </w:rPr>
          </w:pPr>
          <w:r>
            <w:rPr>
              <w:b w:val="0"/>
              <w:bCs w:val="0"/>
              <w:color w:val="000000"/>
              <w:sz w:val="12"/>
              <w:szCs w:val="12"/>
            </w:rPr>
            <w:t>F-01-G-1</w:t>
          </w:r>
        </w:p>
      </w:tc>
    </w:tr>
    <w:tr w:rsidR="00FF1F16" w:rsidTr="00FF1F16">
      <w:trPr>
        <w:cnfStyle w:val="000000100000" w:firstRow="0" w:lastRow="0" w:firstColumn="0" w:lastColumn="0" w:oddVBand="0" w:evenVBand="0" w:oddHBand="1" w:evenHBand="0" w:firstRowFirstColumn="0" w:firstRowLastColumn="0" w:lastRowFirstColumn="0" w:lastRowLastColumn="0"/>
        <w:trHeight w:val="245"/>
      </w:trPr>
      <w:tc>
        <w:tcPr>
          <w:cnfStyle w:val="001000000000" w:firstRow="0" w:lastRow="0" w:firstColumn="1" w:lastColumn="0" w:oddVBand="0" w:evenVBand="0" w:oddHBand="0" w:evenHBand="0" w:firstRowFirstColumn="0" w:firstRowLastColumn="0" w:lastRowFirstColumn="0" w:lastRowLastColumn="0"/>
          <w:tcW w:w="5235" w:type="dxa"/>
          <w:vMerge w:val="restart"/>
          <w:shd w:val="clear" w:color="auto" w:fill="auto"/>
          <w:vAlign w:val="center"/>
        </w:tcPr>
        <w:p w:rsidR="00FF1F16" w:rsidRDefault="004A6500">
          <w:pPr>
            <w:pBdr>
              <w:top w:val="nil"/>
              <w:left w:val="nil"/>
              <w:bottom w:val="nil"/>
              <w:right w:val="nil"/>
              <w:between w:val="nil"/>
            </w:pBdr>
            <w:tabs>
              <w:tab w:val="center" w:pos="4252"/>
              <w:tab w:val="right" w:pos="8504"/>
            </w:tabs>
            <w:spacing w:line="240" w:lineRule="auto"/>
            <w:jc w:val="center"/>
            <w:rPr>
              <w:color w:val="000000"/>
              <w:sz w:val="18"/>
              <w:szCs w:val="18"/>
            </w:rPr>
          </w:pPr>
          <w:r>
            <w:rPr>
              <w:b w:val="0"/>
              <w:bCs w:val="0"/>
              <w:color w:val="000000"/>
              <w:sz w:val="18"/>
              <w:szCs w:val="18"/>
            </w:rPr>
            <w:t>COMUNICACIÓN EXTERNA</w:t>
          </w:r>
        </w:p>
      </w:tc>
      <w:tc>
        <w:tcPr>
          <w:tcW w:w="1273" w:type="dxa"/>
          <w:shd w:val="clear" w:color="auto" w:fill="auto"/>
          <w:vAlign w:val="center"/>
        </w:tcPr>
        <w:p w:rsidR="00FF1F16" w:rsidRDefault="004A6500">
          <w:pPr>
            <w:pBdr>
              <w:top w:val="nil"/>
              <w:left w:val="nil"/>
              <w:bottom w:val="nil"/>
              <w:right w:val="nil"/>
              <w:between w:val="nil"/>
            </w:pBdr>
            <w:spacing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12"/>
              <w:szCs w:val="12"/>
            </w:rPr>
          </w:pPr>
          <w:r>
            <w:rPr>
              <w:b/>
              <w:bCs/>
              <w:color w:val="000000"/>
              <w:sz w:val="12"/>
              <w:szCs w:val="12"/>
            </w:rPr>
            <w:t>Versión: 03</w:t>
          </w:r>
        </w:p>
      </w:tc>
    </w:tr>
    <w:tr w:rsidR="00FF1F16" w:rsidTr="00FF1F16">
      <w:trPr>
        <w:trHeight w:val="223"/>
      </w:trPr>
      <w:tc>
        <w:tcPr>
          <w:cnfStyle w:val="001000000000" w:firstRow="0" w:lastRow="0" w:firstColumn="1" w:lastColumn="0" w:oddVBand="0" w:evenVBand="0" w:oddHBand="0" w:evenHBand="0" w:firstRowFirstColumn="0" w:firstRowLastColumn="0" w:lastRowFirstColumn="0" w:lastRowLastColumn="0"/>
          <w:tcW w:w="5235" w:type="dxa"/>
          <w:vMerge/>
          <w:shd w:val="clear" w:color="auto" w:fill="auto"/>
          <w:vAlign w:val="center"/>
        </w:tcPr>
        <w:p w:rsidR="00FF1F16" w:rsidRDefault="00FF1F16">
          <w:pPr>
            <w:widowControl w:val="0"/>
            <w:pBdr>
              <w:top w:val="nil"/>
              <w:left w:val="nil"/>
              <w:bottom w:val="nil"/>
              <w:right w:val="nil"/>
              <w:between w:val="nil"/>
            </w:pBdr>
            <w:rPr>
              <w:b w:val="0"/>
              <w:bCs w:val="0"/>
              <w:color w:val="000000"/>
              <w:sz w:val="12"/>
              <w:szCs w:val="12"/>
            </w:rPr>
          </w:pPr>
        </w:p>
      </w:tc>
      <w:tc>
        <w:tcPr>
          <w:tcW w:w="1273" w:type="dxa"/>
          <w:shd w:val="clear" w:color="auto" w:fill="auto"/>
          <w:vAlign w:val="center"/>
        </w:tcPr>
        <w:p w:rsidR="00FF1F16" w:rsidRDefault="004A6500">
          <w:pPr>
            <w:pBdr>
              <w:top w:val="nil"/>
              <w:left w:val="nil"/>
              <w:bottom w:val="nil"/>
              <w:right w:val="nil"/>
              <w:between w:val="nil"/>
            </w:pBdr>
            <w:spacing w:line="240" w:lineRule="auto"/>
            <w:jc w:val="center"/>
            <w:cnfStyle w:val="000000000000" w:firstRow="0" w:lastRow="0" w:firstColumn="0" w:lastColumn="0" w:oddVBand="0" w:evenVBand="0" w:oddHBand="0" w:evenHBand="0" w:firstRowFirstColumn="0" w:firstRowLastColumn="0" w:lastRowFirstColumn="0" w:lastRowLastColumn="0"/>
            <w:rPr>
              <w:b/>
              <w:bCs/>
              <w:color w:val="000000"/>
            </w:rPr>
          </w:pPr>
          <w:r>
            <w:rPr>
              <w:b/>
              <w:bCs/>
              <w:color w:val="000000"/>
              <w:sz w:val="12"/>
              <w:szCs w:val="12"/>
            </w:rPr>
            <w:t>Fecha: 26/02/2025</w:t>
          </w:r>
        </w:p>
      </w:tc>
    </w:tr>
  </w:tbl>
  <w:p w:rsidR="00FF1F16" w:rsidRDefault="00FF1F16">
    <w:pPr>
      <w:pBdr>
        <w:top w:val="nil"/>
        <w:left w:val="nil"/>
        <w:bottom w:val="nil"/>
        <w:right w:val="nil"/>
        <w:between w:val="nil"/>
      </w:pBdr>
      <w:tabs>
        <w:tab w:val="center" w:pos="4419"/>
        <w:tab w:val="right" w:pos="8838"/>
      </w:tabs>
      <w:spacing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F1F16" w:rsidRDefault="004A6500">
    <w:pPr>
      <w:pBdr>
        <w:top w:val="nil"/>
        <w:left w:val="nil"/>
        <w:bottom w:val="nil"/>
        <w:right w:val="nil"/>
        <w:between w:val="nil"/>
      </w:pBdr>
      <w:tabs>
        <w:tab w:val="center" w:pos="4419"/>
        <w:tab w:val="right" w:pos="8838"/>
      </w:tabs>
      <w:spacing w:line="240" w:lineRule="auto"/>
      <w:rPr>
        <w:color w:val="000000"/>
      </w:rPr>
    </w:pPr>
    <w:r>
      <w:rPr>
        <w:color w:val="00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50" type="#_x0000_t75" alt="" style="position:absolute;margin-left:0;margin-top:0;width:462.8pt;height:598.95pt;z-index:-251656704;mso-position-horizontal:center;mso-position-horizontal-relative:margin;mso-position-vertical:center;mso-position-vertical-relative:margin">
          <v:imagedata r:id="rId1" o:title="image10"/>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EF4C32"/>
    <w:multiLevelType w:val="multilevel"/>
    <w:tmpl w:val="D5A49A76"/>
    <w:lvl w:ilvl="0">
      <w:start w:val="5"/>
      <w:numFmt w:val="decimal"/>
      <w:lvlText w:val="%1"/>
      <w:lvlJc w:val="left"/>
      <w:pPr>
        <w:ind w:left="720" w:hanging="360"/>
      </w:pPr>
      <w:rPr>
        <w:rFonts w:ascii="Arial" w:eastAsia="Arial" w:hAnsi="Arial" w:cs="Arial"/>
        <w:b w:val="0"/>
        <w:bCs w:val="0"/>
        <w:sz w:val="26"/>
        <w:szCs w:val="2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5944698"/>
    <w:multiLevelType w:val="multilevel"/>
    <w:tmpl w:val="EFFA03E2"/>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7C84D66"/>
    <w:multiLevelType w:val="multilevel"/>
    <w:tmpl w:val="ED94D9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37625E1D"/>
    <w:multiLevelType w:val="multilevel"/>
    <w:tmpl w:val="8D3E2554"/>
    <w:lvl w:ilvl="0">
      <w:start w:val="1"/>
      <w:numFmt w:val="bullet"/>
      <w:lvlText w:val="●"/>
      <w:lvlJc w:val="left"/>
      <w:pPr>
        <w:ind w:left="720" w:hanging="360"/>
      </w:pPr>
      <w:rPr>
        <w:sz w:val="14"/>
        <w:szCs w:val="1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E11625A"/>
    <w:multiLevelType w:val="multilevel"/>
    <w:tmpl w:val="BE4049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728932F8"/>
    <w:multiLevelType w:val="multilevel"/>
    <w:tmpl w:val="479A3590"/>
    <w:lvl w:ilvl="0">
      <w:start w:val="1"/>
      <w:numFmt w:val="decimal"/>
      <w:lvlText w:val="%1."/>
      <w:lvlJc w:val="left"/>
      <w:pPr>
        <w:ind w:left="72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5"/>
  </w:num>
  <w:num w:numId="2">
    <w:abstractNumId w:val="0"/>
  </w:num>
  <w:num w:numId="3">
    <w:abstractNumId w:val="1"/>
  </w:num>
  <w:num w:numId="4">
    <w:abstractNumId w:val="2"/>
  </w:num>
  <w:num w:numId="5">
    <w:abstractNumId w:val="3"/>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1F16"/>
    <w:rsid w:val="004A6500"/>
    <w:rsid w:val="009A020C"/>
    <w:rsid w:val="00FF1F1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7405F9BD"/>
  <w15:docId w15:val="{7ACCDF18-C50E-4F86-B233-B03D641E75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s-CO" w:eastAsia="es-CO" w:bidi="ar-SA"/>
      </w:rPr>
    </w:rPrDefault>
    <w:pPrDefault>
      <w:pP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iCs/>
      <w:color w:val="66666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after="60"/>
    </w:pPr>
    <w:rPr>
      <w:sz w:val="52"/>
      <w:szCs w:val="52"/>
    </w:rPr>
  </w:style>
  <w:style w:type="paragraph" w:styleId="Subttulo">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08" w:type="dxa"/>
        <w:bottom w:w="0" w:type="dxa"/>
        <w:right w:w="108"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table" w:customStyle="1" w:styleId="a4">
    <w:basedOn w:val="TableNormal"/>
    <w:tblPr>
      <w:tblStyleRowBandSize w:val="1"/>
      <w:tblStyleColBandSize w:val="1"/>
      <w:tblCellMar>
        <w:top w:w="0" w:type="dxa"/>
        <w:left w:w="108" w:type="dxa"/>
        <w:bottom w:w="0" w:type="dxa"/>
        <w:right w:w="108" w:type="dxa"/>
      </w:tblCellMar>
    </w:tblPr>
  </w:style>
  <w:style w:type="table" w:customStyle="1" w:styleId="a5">
    <w:basedOn w:val="TableNormal"/>
    <w:tblPr>
      <w:tblStyleRowBandSize w:val="1"/>
      <w:tblStyleColBandSize w:val="1"/>
      <w:tblCellMar>
        <w:top w:w="0" w:type="dxa"/>
        <w:left w:w="70" w:type="dxa"/>
        <w:bottom w:w="0" w:type="dxa"/>
        <w:right w:w="70" w:type="dxa"/>
      </w:tblCellMar>
    </w:tblPr>
  </w:style>
  <w:style w:type="table" w:customStyle="1" w:styleId="a6">
    <w:basedOn w:val="TableNormal"/>
    <w:tblPr>
      <w:tblStyleRowBandSize w:val="1"/>
      <w:tblStyleColBandSize w:val="1"/>
      <w:tblCellMar>
        <w:top w:w="0" w:type="dxa"/>
        <w:left w:w="108" w:type="dxa"/>
        <w:bottom w:w="0" w:type="dxa"/>
        <w:right w:w="108" w:type="dxa"/>
      </w:tblCellMar>
    </w:tblPr>
  </w:style>
  <w:style w:type="table" w:customStyle="1" w:styleId="a7">
    <w:basedOn w:val="TableNormal"/>
    <w:tblPr>
      <w:tblStyleRowBandSize w:val="1"/>
      <w:tblStyleColBandSize w:val="1"/>
      <w:tblCellMar>
        <w:top w:w="0" w:type="dxa"/>
        <w:left w:w="108" w:type="dxa"/>
        <w:bottom w:w="0" w:type="dxa"/>
        <w:right w:w="108" w:type="dxa"/>
      </w:tblCellMar>
    </w:tblPr>
  </w:style>
  <w:style w:type="table" w:customStyle="1" w:styleId="a8">
    <w:basedOn w:val="TableNormal"/>
    <w:tblPr>
      <w:tblStyleRowBandSize w:val="1"/>
      <w:tblStyleColBandSize w:val="1"/>
      <w:tblCellMar>
        <w:top w:w="0" w:type="dxa"/>
        <w:left w:w="108" w:type="dxa"/>
        <w:bottom w:w="0" w:type="dxa"/>
        <w:right w:w="108" w:type="dxa"/>
      </w:tblCellMar>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CellMar>
        <w:top w:w="0" w:type="dxa"/>
        <w:left w:w="108" w:type="dxa"/>
        <w:bottom w:w="0" w:type="dxa"/>
        <w:right w:w="108" w:type="dxa"/>
      </w:tblCellMar>
    </w:tblPr>
  </w:style>
  <w:style w:type="table" w:customStyle="1" w:styleId="ab">
    <w:basedOn w:val="TableNormal"/>
    <w:tblPr>
      <w:tblStyleRowBandSize w:val="1"/>
      <w:tblStyleColBandSize w:val="1"/>
      <w:tblCellMar>
        <w:top w:w="0" w:type="dxa"/>
        <w:left w:w="115" w:type="dxa"/>
        <w:bottom w:w="0" w:type="dxa"/>
        <w:right w:w="115"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hyperlink" Target="http://www.movilidadfutura.gov.co" TargetMode="External"/><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3" Type="http://schemas.openxmlformats.org/officeDocument/2006/relationships/image" Target="media/image8.png"/><Relationship Id="rId2" Type="http://schemas.openxmlformats.org/officeDocument/2006/relationships/image" Target="media/image7.png"/><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xvEDd21Jw7+nb+oEE+9DLuz8OOQ==">CgMxLjAaKwoBMBImCiQIB0IgCgxBcmlhbCBOYXJyb3cSEEFyaWFsIFVuaWNvZGUgTVMyDmguZW95MzJxaWpyZjNoMg5oLjc5NWg4cWdsN2JpaTINaC50ejR4ZWZwM2MweTIOaC43ZmZhZzZ5eW5vZ2I4AHIhMVRJeDVTZ3ZWRHpTcE5LdEJCZ1p5Qm9HbThRQzViOGEx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27</Pages>
  <Words>7602</Words>
  <Characters>41816</Characters>
  <Application>Microsoft Office Word</Application>
  <DocSecurity>0</DocSecurity>
  <Lines>348</Lines>
  <Paragraphs>98</Paragraphs>
  <ScaleCrop>false</ScaleCrop>
  <Company/>
  <LinksUpToDate>false</LinksUpToDate>
  <CharactersWithSpaces>49320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DIANA CAICEDO</cp:lastModifiedBy>
  <cp:revision>2</cp:revision>
  <dcterms:created xsi:type="dcterms:W3CDTF">2026-06-04T20:26:00Z</dcterms:created>
  <dcterms:modified xsi:type="dcterms:W3CDTF">2026-06-04T20:28:00Z</dcterms:modified>
</cp:coreProperties>
</file>